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BF18" w14:textId="24EA8B7B" w:rsidR="00C73699" w:rsidRPr="00D57327" w:rsidRDefault="00C73699" w:rsidP="00C73699">
      <w:pPr>
        <w:pStyle w:val="Default"/>
        <w:rPr>
          <w:color w:val="auto"/>
          <w:sz w:val="22"/>
        </w:rPr>
      </w:pPr>
      <w:r>
        <w:rPr>
          <w:b/>
          <w:color w:val="auto"/>
          <w:sz w:val="22"/>
        </w:rPr>
        <w:t xml:space="preserve">AYUNTAMIENTO DE </w:t>
      </w:r>
      <w:r w:rsidR="00A92F16">
        <w:rPr>
          <w:b/>
          <w:color w:val="auto"/>
          <w:sz w:val="22"/>
        </w:rPr>
        <w:t>TINGÜINDÍN</w:t>
      </w:r>
      <w:r w:rsidRPr="00D57327">
        <w:rPr>
          <w:b/>
          <w:color w:val="auto"/>
          <w:sz w:val="22"/>
        </w:rPr>
        <w:t>, MICHOACÁN</w:t>
      </w:r>
      <w:r w:rsidRPr="00D57327">
        <w:rPr>
          <w:color w:val="auto"/>
          <w:sz w:val="22"/>
        </w:rPr>
        <w:t>.</w:t>
      </w:r>
    </w:p>
    <w:p w14:paraId="31ADA647" w14:textId="77777777" w:rsidR="00C73699" w:rsidRPr="00D57327" w:rsidRDefault="00C73699" w:rsidP="00C73699">
      <w:pPr>
        <w:pStyle w:val="Ttulo2"/>
        <w:rPr>
          <w:sz w:val="20"/>
        </w:rPr>
      </w:pPr>
    </w:p>
    <w:p w14:paraId="6DD0D239"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7F1DCC24" w14:textId="77777777" w:rsidR="00C73699" w:rsidRPr="00D57327" w:rsidRDefault="00C73699" w:rsidP="00C73699"/>
    <w:p w14:paraId="352D6F99" w14:textId="0C30A46D"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A92F16">
        <w:rPr>
          <w:rFonts w:eastAsiaTheme="minorHAnsi"/>
          <w:lang w:eastAsia="en-US"/>
        </w:rPr>
        <w:t>Tingüindín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2B1F176D" w14:textId="77777777" w:rsidR="00C73699" w:rsidRPr="00115E09" w:rsidRDefault="00C73699" w:rsidP="00C73699">
      <w:pPr>
        <w:rPr>
          <w:rFonts w:cs="Arial"/>
          <w:szCs w:val="22"/>
        </w:rPr>
      </w:pPr>
    </w:p>
    <w:p w14:paraId="62D27814"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3F557C0B" w14:textId="77777777" w:rsidR="00C73699" w:rsidRPr="00115E09" w:rsidRDefault="00C73699" w:rsidP="00C73699">
      <w:pPr>
        <w:rPr>
          <w:lang w:val="es-MX"/>
        </w:rPr>
      </w:pPr>
    </w:p>
    <w:p w14:paraId="4D849799" w14:textId="77777777" w:rsidR="00C73699" w:rsidRPr="004E2BFC" w:rsidRDefault="00C73699" w:rsidP="00C73699">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72B8AE1B" w14:textId="77777777" w:rsidR="00C73699" w:rsidRDefault="00C73699" w:rsidP="00C73699"/>
    <w:p w14:paraId="31FC46BC"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63256C4" w14:textId="77777777" w:rsidR="00C73699" w:rsidRPr="005A4B09" w:rsidRDefault="00C73699" w:rsidP="00C73699">
      <w:pPr>
        <w:rPr>
          <w:rFonts w:eastAsiaTheme="minorHAnsi"/>
          <w:lang w:eastAsia="en-US"/>
        </w:rPr>
      </w:pPr>
    </w:p>
    <w:p w14:paraId="44376715"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1C7A6E38" w14:textId="77777777" w:rsidR="00C73699" w:rsidRDefault="00C73699" w:rsidP="00C73699">
      <w:pPr>
        <w:tabs>
          <w:tab w:val="left" w:pos="360"/>
        </w:tabs>
        <w:rPr>
          <w:rFonts w:eastAsia="Arial" w:cs="Arial"/>
          <w:spacing w:val="-1"/>
        </w:rPr>
      </w:pPr>
    </w:p>
    <w:p w14:paraId="1FE308CD"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63D56BA0"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1B31A7" w:rsidRPr="00BD18CC" w14:paraId="6EB9DBC8" w14:textId="77777777" w:rsidTr="006C6135">
        <w:tc>
          <w:tcPr>
            <w:tcW w:w="4820" w:type="dxa"/>
          </w:tcPr>
          <w:p w14:paraId="359D7C42" w14:textId="77777777" w:rsidR="001B31A7" w:rsidRPr="009D799F" w:rsidRDefault="001B31A7" w:rsidP="001B31A7">
            <w:pPr>
              <w:spacing w:line="0" w:lineRule="atLeast"/>
              <w:rPr>
                <w:rFonts w:cs="Arial"/>
                <w:lang w:val="es-MX" w:eastAsia="es-MX"/>
              </w:rPr>
            </w:pPr>
            <w:r w:rsidRPr="009D799F">
              <w:rPr>
                <w:rFonts w:cs="Arial"/>
                <w:lang w:val="es-MX" w:eastAsia="es-MX"/>
              </w:rPr>
              <w:t>Universo</w:t>
            </w:r>
          </w:p>
          <w:p w14:paraId="3785931E" w14:textId="77777777" w:rsidR="001B31A7" w:rsidRPr="00BD18CC" w:rsidRDefault="001B31A7" w:rsidP="001B31A7">
            <w:pPr>
              <w:spacing w:line="0" w:lineRule="atLeast"/>
              <w:rPr>
                <w:rFonts w:cs="Arial"/>
                <w:b/>
                <w:highlight w:val="yellow"/>
                <w:lang w:val="es-MX" w:eastAsia="es-MX"/>
              </w:rPr>
            </w:pPr>
          </w:p>
        </w:tc>
        <w:tc>
          <w:tcPr>
            <w:tcW w:w="567" w:type="dxa"/>
          </w:tcPr>
          <w:p w14:paraId="1A69B76C" w14:textId="77777777" w:rsidR="001B31A7" w:rsidRPr="00BD18CC" w:rsidRDefault="001B31A7" w:rsidP="001B31A7">
            <w:pPr>
              <w:spacing w:line="0" w:lineRule="atLeast"/>
              <w:rPr>
                <w:rFonts w:cs="Arial"/>
                <w:b/>
                <w:highlight w:val="yellow"/>
                <w:lang w:val="es-MX" w:eastAsia="es-MX"/>
              </w:rPr>
            </w:pPr>
          </w:p>
        </w:tc>
        <w:tc>
          <w:tcPr>
            <w:tcW w:w="1560" w:type="dxa"/>
          </w:tcPr>
          <w:p w14:paraId="64AE75AF" w14:textId="2D0CE596" w:rsidR="001B31A7" w:rsidRPr="00BD18CC" w:rsidRDefault="00A92F16" w:rsidP="001B31A7">
            <w:pPr>
              <w:spacing w:line="0" w:lineRule="atLeast"/>
              <w:jc w:val="right"/>
              <w:rPr>
                <w:rFonts w:cs="Arial"/>
                <w:b/>
                <w:highlight w:val="yellow"/>
                <w:lang w:val="es-MX" w:eastAsia="es-MX"/>
              </w:rPr>
            </w:pPr>
            <w:r>
              <w:rPr>
                <w:rFonts w:cs="Arial"/>
                <w:lang w:val="es-MX" w:eastAsia="es-MX"/>
              </w:rPr>
              <w:t>9</w:t>
            </w:r>
            <w:r w:rsidR="001B31A7" w:rsidRPr="009D799F">
              <w:rPr>
                <w:rFonts w:cs="Arial"/>
                <w:lang w:val="es-MX" w:eastAsia="es-MX"/>
              </w:rPr>
              <w:t>,</w:t>
            </w:r>
            <w:r>
              <w:rPr>
                <w:rFonts w:cs="Arial"/>
                <w:lang w:val="es-MX" w:eastAsia="es-MX"/>
              </w:rPr>
              <w:t>562</w:t>
            </w:r>
            <w:r w:rsidR="001B31A7" w:rsidRPr="009D799F">
              <w:rPr>
                <w:rFonts w:cs="Arial"/>
                <w:lang w:val="es-MX" w:eastAsia="es-MX"/>
              </w:rPr>
              <w:t>,</w:t>
            </w:r>
            <w:r>
              <w:rPr>
                <w:rFonts w:cs="Arial"/>
                <w:lang w:val="es-MX" w:eastAsia="es-MX"/>
              </w:rPr>
              <w:t>207</w:t>
            </w:r>
          </w:p>
        </w:tc>
        <w:tc>
          <w:tcPr>
            <w:tcW w:w="1560" w:type="dxa"/>
          </w:tcPr>
          <w:p w14:paraId="13E5B768" w14:textId="45A1ADD7" w:rsidR="001B31A7" w:rsidRPr="00BD18CC" w:rsidRDefault="001B31A7" w:rsidP="001B31A7">
            <w:pPr>
              <w:spacing w:line="0" w:lineRule="atLeast"/>
              <w:rPr>
                <w:rFonts w:cs="Arial"/>
                <w:highlight w:val="yellow"/>
                <w:lang w:val="es-MX" w:eastAsia="es-MX"/>
              </w:rPr>
            </w:pPr>
            <w:r w:rsidRPr="009D799F">
              <w:rPr>
                <w:rFonts w:cs="Arial"/>
                <w:lang w:val="es-MX" w:eastAsia="es-MX"/>
              </w:rPr>
              <w:t>Pesos</w:t>
            </w:r>
          </w:p>
        </w:tc>
      </w:tr>
      <w:tr w:rsidR="001B31A7" w:rsidRPr="00BD18CC" w14:paraId="0D98960C" w14:textId="77777777" w:rsidTr="006C6135">
        <w:tc>
          <w:tcPr>
            <w:tcW w:w="4820" w:type="dxa"/>
          </w:tcPr>
          <w:p w14:paraId="45786654" w14:textId="21BE3E4D" w:rsidR="001B31A7" w:rsidRPr="009D799F" w:rsidRDefault="001B31A7" w:rsidP="001B31A7">
            <w:pPr>
              <w:spacing w:line="0" w:lineRule="atLeast"/>
              <w:rPr>
                <w:rFonts w:cs="Arial"/>
                <w:szCs w:val="22"/>
                <w:lang w:eastAsia="es-MX"/>
              </w:rPr>
            </w:pPr>
            <w:r w:rsidRPr="009D799F">
              <w:rPr>
                <w:rFonts w:cs="Arial"/>
                <w:szCs w:val="22"/>
                <w:lang w:eastAsia="es-MX"/>
              </w:rPr>
              <w:t>Recurso</w:t>
            </w:r>
            <w:r w:rsidR="0071040C">
              <w:rPr>
                <w:rFonts w:cs="Arial"/>
                <w:szCs w:val="22"/>
                <w:lang w:eastAsia="es-MX"/>
              </w:rPr>
              <w:t>s</w:t>
            </w:r>
            <w:r w:rsidRPr="009D799F">
              <w:rPr>
                <w:rFonts w:cs="Arial"/>
                <w:szCs w:val="22"/>
                <w:lang w:eastAsia="es-MX"/>
              </w:rPr>
              <w:t xml:space="preserve"> Fiscales e Ingresos Propios </w:t>
            </w:r>
          </w:p>
          <w:p w14:paraId="6530405C" w14:textId="36FA8759" w:rsidR="001B31A7" w:rsidRPr="00BD18CC" w:rsidRDefault="001B31A7" w:rsidP="001B31A7">
            <w:pPr>
              <w:spacing w:line="0" w:lineRule="atLeast"/>
              <w:rPr>
                <w:rFonts w:cs="Arial"/>
                <w:szCs w:val="22"/>
                <w:highlight w:val="yellow"/>
                <w:lang w:eastAsia="es-MX"/>
              </w:rPr>
            </w:pPr>
            <w:r w:rsidRPr="009D799F">
              <w:rPr>
                <w:rFonts w:cs="Arial"/>
                <w:szCs w:val="22"/>
                <w:lang w:eastAsia="es-MX"/>
              </w:rPr>
              <w:t xml:space="preserve">    (Ingresos de Gestión)</w:t>
            </w:r>
          </w:p>
        </w:tc>
        <w:tc>
          <w:tcPr>
            <w:tcW w:w="567" w:type="dxa"/>
          </w:tcPr>
          <w:p w14:paraId="072200A3" w14:textId="77777777" w:rsidR="001B31A7" w:rsidRPr="00BD18CC" w:rsidRDefault="001B31A7" w:rsidP="001B31A7">
            <w:pPr>
              <w:spacing w:line="0" w:lineRule="atLeast"/>
              <w:rPr>
                <w:rFonts w:cs="Arial"/>
                <w:b/>
                <w:highlight w:val="yellow"/>
                <w:lang w:val="es-MX" w:eastAsia="es-MX"/>
              </w:rPr>
            </w:pPr>
          </w:p>
        </w:tc>
        <w:tc>
          <w:tcPr>
            <w:tcW w:w="1560" w:type="dxa"/>
          </w:tcPr>
          <w:p w14:paraId="3E7F2051" w14:textId="57942FD3" w:rsidR="001B31A7" w:rsidRPr="00BD18CC" w:rsidRDefault="00A92F16" w:rsidP="001B31A7">
            <w:pPr>
              <w:spacing w:line="0" w:lineRule="atLeast"/>
              <w:jc w:val="right"/>
              <w:rPr>
                <w:rFonts w:cs="Arial"/>
                <w:highlight w:val="yellow"/>
                <w:lang w:val="es-MX" w:eastAsia="es-MX"/>
              </w:rPr>
            </w:pPr>
            <w:r>
              <w:rPr>
                <w:rFonts w:cs="Arial"/>
                <w:lang w:val="es-MX" w:eastAsia="es-MX"/>
              </w:rPr>
              <w:t>9</w:t>
            </w:r>
            <w:r w:rsidRPr="009D799F">
              <w:rPr>
                <w:rFonts w:cs="Arial"/>
                <w:lang w:val="es-MX" w:eastAsia="es-MX"/>
              </w:rPr>
              <w:t>,</w:t>
            </w:r>
            <w:r>
              <w:rPr>
                <w:rFonts w:cs="Arial"/>
                <w:lang w:val="es-MX" w:eastAsia="es-MX"/>
              </w:rPr>
              <w:t>562</w:t>
            </w:r>
            <w:r w:rsidRPr="009D799F">
              <w:rPr>
                <w:rFonts w:cs="Arial"/>
                <w:lang w:val="es-MX" w:eastAsia="es-MX"/>
              </w:rPr>
              <w:t>,</w:t>
            </w:r>
            <w:r>
              <w:rPr>
                <w:rFonts w:cs="Arial"/>
                <w:lang w:val="es-MX" w:eastAsia="es-MX"/>
              </w:rPr>
              <w:t>207</w:t>
            </w:r>
          </w:p>
        </w:tc>
        <w:tc>
          <w:tcPr>
            <w:tcW w:w="1560" w:type="dxa"/>
          </w:tcPr>
          <w:p w14:paraId="108F63B6" w14:textId="77777777" w:rsidR="001B31A7" w:rsidRPr="009D799F" w:rsidRDefault="001B31A7" w:rsidP="001B31A7">
            <w:pPr>
              <w:spacing w:line="0" w:lineRule="atLeast"/>
              <w:rPr>
                <w:rFonts w:cs="Arial"/>
                <w:lang w:val="es-MX" w:eastAsia="es-MX"/>
              </w:rPr>
            </w:pPr>
            <w:r w:rsidRPr="009D799F">
              <w:rPr>
                <w:rFonts w:cs="Arial"/>
                <w:lang w:val="es-MX" w:eastAsia="es-MX"/>
              </w:rPr>
              <w:t>Pesos</w:t>
            </w:r>
          </w:p>
          <w:p w14:paraId="7476D364" w14:textId="77777777" w:rsidR="001B31A7" w:rsidRPr="00BD18CC" w:rsidRDefault="001B31A7" w:rsidP="001B31A7">
            <w:pPr>
              <w:spacing w:line="0" w:lineRule="atLeast"/>
              <w:rPr>
                <w:rFonts w:cs="Arial"/>
                <w:highlight w:val="yellow"/>
                <w:lang w:val="es-MX" w:eastAsia="es-MX"/>
              </w:rPr>
            </w:pPr>
          </w:p>
        </w:tc>
      </w:tr>
    </w:tbl>
    <w:p w14:paraId="31C1016F" w14:textId="77777777" w:rsidR="00C73699" w:rsidRPr="00BD18CC" w:rsidRDefault="00C73699" w:rsidP="00C73699">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1B31A7" w:rsidRPr="00BD18CC" w14:paraId="1810A7B5" w14:textId="77777777" w:rsidTr="006C6135">
        <w:tc>
          <w:tcPr>
            <w:tcW w:w="4820" w:type="dxa"/>
          </w:tcPr>
          <w:p w14:paraId="5460C635" w14:textId="41821886" w:rsidR="001B31A7" w:rsidRPr="00BD18CC" w:rsidRDefault="001B31A7" w:rsidP="001B31A7">
            <w:pPr>
              <w:spacing w:line="0" w:lineRule="atLeast"/>
              <w:rPr>
                <w:rFonts w:cs="Arial"/>
                <w:b/>
                <w:highlight w:val="yellow"/>
                <w:lang w:val="es-MX" w:eastAsia="es-MX"/>
              </w:rPr>
            </w:pPr>
            <w:proofErr w:type="gramStart"/>
            <w:r w:rsidRPr="009D799F">
              <w:rPr>
                <w:rFonts w:cs="Arial"/>
                <w:lang w:val="es-MX" w:eastAsia="es-MX"/>
              </w:rPr>
              <w:t>Universo a Fiscalizar</w:t>
            </w:r>
            <w:proofErr w:type="gramEnd"/>
          </w:p>
        </w:tc>
        <w:tc>
          <w:tcPr>
            <w:tcW w:w="567" w:type="dxa"/>
          </w:tcPr>
          <w:p w14:paraId="1FA0B2A7" w14:textId="77777777" w:rsidR="001B31A7" w:rsidRPr="00BD18CC" w:rsidRDefault="001B31A7" w:rsidP="001B31A7">
            <w:pPr>
              <w:spacing w:line="0" w:lineRule="atLeast"/>
              <w:rPr>
                <w:rFonts w:cs="Arial"/>
                <w:b/>
                <w:highlight w:val="yellow"/>
                <w:lang w:val="es-MX" w:eastAsia="es-MX"/>
              </w:rPr>
            </w:pPr>
          </w:p>
        </w:tc>
        <w:tc>
          <w:tcPr>
            <w:tcW w:w="1560" w:type="dxa"/>
          </w:tcPr>
          <w:p w14:paraId="72F26A83" w14:textId="4EC73695" w:rsidR="001B31A7" w:rsidRPr="00BD18CC" w:rsidRDefault="00A92F16" w:rsidP="001B31A7">
            <w:pPr>
              <w:spacing w:line="0" w:lineRule="atLeast"/>
              <w:jc w:val="right"/>
              <w:rPr>
                <w:rFonts w:cs="Arial"/>
                <w:b/>
                <w:highlight w:val="yellow"/>
                <w:lang w:val="es-MX" w:eastAsia="es-MX"/>
              </w:rPr>
            </w:pPr>
            <w:r>
              <w:rPr>
                <w:rFonts w:cs="Arial"/>
                <w:lang w:val="es-MX" w:eastAsia="es-MX"/>
              </w:rPr>
              <w:t>9</w:t>
            </w:r>
            <w:r w:rsidRPr="009D799F">
              <w:rPr>
                <w:rFonts w:cs="Arial"/>
                <w:lang w:val="es-MX" w:eastAsia="es-MX"/>
              </w:rPr>
              <w:t>,</w:t>
            </w:r>
            <w:r>
              <w:rPr>
                <w:rFonts w:cs="Arial"/>
                <w:lang w:val="es-MX" w:eastAsia="es-MX"/>
              </w:rPr>
              <w:t>562</w:t>
            </w:r>
            <w:r w:rsidRPr="009D799F">
              <w:rPr>
                <w:rFonts w:cs="Arial"/>
                <w:lang w:val="es-MX" w:eastAsia="es-MX"/>
              </w:rPr>
              <w:t>,</w:t>
            </w:r>
            <w:r>
              <w:rPr>
                <w:rFonts w:cs="Arial"/>
                <w:lang w:val="es-MX" w:eastAsia="es-MX"/>
              </w:rPr>
              <w:t>207</w:t>
            </w:r>
          </w:p>
        </w:tc>
        <w:tc>
          <w:tcPr>
            <w:tcW w:w="1560" w:type="dxa"/>
          </w:tcPr>
          <w:p w14:paraId="58ED061F" w14:textId="6B671E8E" w:rsidR="001B31A7" w:rsidRPr="00BD18CC" w:rsidRDefault="001B31A7" w:rsidP="001B31A7">
            <w:pPr>
              <w:spacing w:line="0" w:lineRule="atLeast"/>
              <w:rPr>
                <w:rFonts w:cs="Arial"/>
                <w:highlight w:val="yellow"/>
                <w:lang w:val="es-MX" w:eastAsia="es-MX"/>
              </w:rPr>
            </w:pPr>
            <w:r w:rsidRPr="009D799F">
              <w:rPr>
                <w:rFonts w:cs="Arial"/>
                <w:lang w:val="es-MX" w:eastAsia="es-MX"/>
              </w:rPr>
              <w:t>Pesos</w:t>
            </w:r>
          </w:p>
        </w:tc>
      </w:tr>
      <w:tr w:rsidR="001B31A7" w:rsidRPr="00BD18CC" w14:paraId="48D47CD0" w14:textId="77777777" w:rsidTr="006C6135">
        <w:tc>
          <w:tcPr>
            <w:tcW w:w="4820" w:type="dxa"/>
          </w:tcPr>
          <w:p w14:paraId="51FE996E" w14:textId="628AC40B" w:rsidR="001B31A7" w:rsidRPr="00BD18CC" w:rsidRDefault="001B31A7" w:rsidP="001B31A7">
            <w:pPr>
              <w:spacing w:line="0" w:lineRule="atLeast"/>
              <w:rPr>
                <w:rFonts w:cs="Arial"/>
                <w:b/>
                <w:highlight w:val="yellow"/>
                <w:lang w:val="es-MX" w:eastAsia="es-MX"/>
              </w:rPr>
            </w:pPr>
            <w:r w:rsidRPr="009D799F">
              <w:rPr>
                <w:rFonts w:cs="Arial"/>
                <w:lang w:val="es-MX" w:eastAsia="es-MX"/>
              </w:rPr>
              <w:t>Muestra Auditada</w:t>
            </w:r>
          </w:p>
        </w:tc>
        <w:tc>
          <w:tcPr>
            <w:tcW w:w="567" w:type="dxa"/>
          </w:tcPr>
          <w:p w14:paraId="2F50E029" w14:textId="77777777" w:rsidR="001B31A7" w:rsidRPr="00BD18CC" w:rsidRDefault="001B31A7" w:rsidP="001B31A7">
            <w:pPr>
              <w:spacing w:line="0" w:lineRule="atLeast"/>
              <w:rPr>
                <w:rFonts w:cs="Arial"/>
                <w:b/>
                <w:highlight w:val="yellow"/>
                <w:lang w:val="es-MX" w:eastAsia="es-MX"/>
              </w:rPr>
            </w:pPr>
          </w:p>
        </w:tc>
        <w:tc>
          <w:tcPr>
            <w:tcW w:w="1560" w:type="dxa"/>
          </w:tcPr>
          <w:p w14:paraId="4CB45E82" w14:textId="4619E55C" w:rsidR="001B31A7" w:rsidRPr="00A92F16" w:rsidRDefault="00A92F16" w:rsidP="001B31A7">
            <w:pPr>
              <w:spacing w:line="0" w:lineRule="atLeast"/>
              <w:jc w:val="right"/>
              <w:rPr>
                <w:rFonts w:cs="Arial"/>
                <w:lang w:val="es-MX" w:eastAsia="es-MX"/>
              </w:rPr>
            </w:pPr>
            <w:r w:rsidRPr="00A92F16">
              <w:rPr>
                <w:rFonts w:cs="Arial"/>
                <w:lang w:val="es-MX" w:eastAsia="es-MX"/>
              </w:rPr>
              <w:t>3,722,791</w:t>
            </w:r>
          </w:p>
        </w:tc>
        <w:tc>
          <w:tcPr>
            <w:tcW w:w="1560" w:type="dxa"/>
          </w:tcPr>
          <w:p w14:paraId="3E9A845B" w14:textId="15F7A47F" w:rsidR="001B31A7" w:rsidRPr="00BD18CC" w:rsidRDefault="001B31A7" w:rsidP="001B31A7">
            <w:pPr>
              <w:spacing w:line="0" w:lineRule="atLeast"/>
              <w:rPr>
                <w:rFonts w:cs="Arial"/>
                <w:b/>
                <w:highlight w:val="yellow"/>
                <w:lang w:val="es-MX" w:eastAsia="es-MX"/>
              </w:rPr>
            </w:pPr>
            <w:r w:rsidRPr="009D799F">
              <w:rPr>
                <w:rFonts w:cs="Arial"/>
                <w:lang w:val="es-MX" w:eastAsia="es-MX"/>
              </w:rPr>
              <w:t>Pesos</w:t>
            </w:r>
          </w:p>
        </w:tc>
      </w:tr>
      <w:tr w:rsidR="001B31A7" w:rsidRPr="00115E09" w14:paraId="45AE4744" w14:textId="77777777" w:rsidTr="006C6135">
        <w:tc>
          <w:tcPr>
            <w:tcW w:w="4820" w:type="dxa"/>
          </w:tcPr>
          <w:p w14:paraId="586E5F92" w14:textId="77777777" w:rsidR="001B31A7" w:rsidRPr="009D799F" w:rsidRDefault="001B31A7" w:rsidP="001B31A7">
            <w:pPr>
              <w:spacing w:line="0" w:lineRule="atLeast"/>
              <w:ind w:left="459" w:hanging="459"/>
              <w:rPr>
                <w:rFonts w:cs="Arial"/>
                <w:lang w:val="es-MX" w:eastAsia="es-MX"/>
              </w:rPr>
            </w:pPr>
            <w:r w:rsidRPr="009D799F">
              <w:rPr>
                <w:rFonts w:cs="Arial"/>
                <w:lang w:val="es-MX" w:eastAsia="es-MX"/>
              </w:rPr>
              <w:t>Representatividad de la muestra</w:t>
            </w:r>
          </w:p>
          <w:p w14:paraId="1350C414" w14:textId="77777777" w:rsidR="001B31A7" w:rsidRPr="00BD18CC" w:rsidRDefault="001B31A7" w:rsidP="001B31A7">
            <w:pPr>
              <w:spacing w:line="0" w:lineRule="atLeast"/>
              <w:ind w:left="459" w:hanging="459"/>
              <w:rPr>
                <w:rFonts w:cs="Arial"/>
                <w:b/>
                <w:highlight w:val="yellow"/>
                <w:lang w:val="es-MX" w:eastAsia="es-MX"/>
              </w:rPr>
            </w:pPr>
          </w:p>
        </w:tc>
        <w:tc>
          <w:tcPr>
            <w:tcW w:w="567" w:type="dxa"/>
          </w:tcPr>
          <w:p w14:paraId="1C7EF056" w14:textId="77777777" w:rsidR="001B31A7" w:rsidRPr="00BD18CC" w:rsidRDefault="001B31A7" w:rsidP="001B31A7">
            <w:pPr>
              <w:spacing w:line="0" w:lineRule="atLeast"/>
              <w:rPr>
                <w:rFonts w:cs="Arial"/>
                <w:b/>
                <w:highlight w:val="yellow"/>
                <w:lang w:val="es-MX" w:eastAsia="es-MX"/>
              </w:rPr>
            </w:pPr>
          </w:p>
        </w:tc>
        <w:tc>
          <w:tcPr>
            <w:tcW w:w="1560" w:type="dxa"/>
          </w:tcPr>
          <w:p w14:paraId="52192911" w14:textId="2B8EF0BA" w:rsidR="001B31A7" w:rsidRPr="00A92F16" w:rsidRDefault="00A92F16" w:rsidP="001B31A7">
            <w:pPr>
              <w:spacing w:line="0" w:lineRule="atLeast"/>
              <w:jc w:val="right"/>
              <w:rPr>
                <w:rFonts w:cs="Arial"/>
                <w:lang w:val="es-MX" w:eastAsia="es-MX"/>
              </w:rPr>
            </w:pPr>
            <w:r w:rsidRPr="00A92F16">
              <w:rPr>
                <w:rFonts w:cs="Arial"/>
                <w:lang w:val="es-MX" w:eastAsia="es-MX"/>
              </w:rPr>
              <w:t>3</w:t>
            </w:r>
            <w:r w:rsidR="0071040C">
              <w:rPr>
                <w:rFonts w:cs="Arial"/>
                <w:lang w:val="es-MX" w:eastAsia="es-MX"/>
              </w:rPr>
              <w:t>9</w:t>
            </w:r>
          </w:p>
          <w:p w14:paraId="4CD6C824" w14:textId="65D2717F" w:rsidR="00A92F16" w:rsidRPr="00A92F16" w:rsidRDefault="00A92F16" w:rsidP="001B31A7">
            <w:pPr>
              <w:spacing w:line="0" w:lineRule="atLeast"/>
              <w:jc w:val="right"/>
              <w:rPr>
                <w:rFonts w:cs="Arial"/>
                <w:lang w:val="es-MX" w:eastAsia="es-MX"/>
              </w:rPr>
            </w:pPr>
          </w:p>
        </w:tc>
        <w:tc>
          <w:tcPr>
            <w:tcW w:w="1560" w:type="dxa"/>
          </w:tcPr>
          <w:p w14:paraId="66C8F00E" w14:textId="325EAA8C" w:rsidR="001B31A7" w:rsidRPr="00DF42D0" w:rsidRDefault="001B31A7" w:rsidP="001B31A7">
            <w:pPr>
              <w:spacing w:line="0" w:lineRule="atLeast"/>
              <w:rPr>
                <w:rFonts w:cs="Arial"/>
                <w:b/>
                <w:lang w:val="es-MX" w:eastAsia="es-MX"/>
              </w:rPr>
            </w:pPr>
            <w:r w:rsidRPr="009D799F">
              <w:rPr>
                <w:rFonts w:cs="Arial"/>
                <w:lang w:val="es-MX" w:eastAsia="es-MX"/>
              </w:rPr>
              <w:t>Por ciento</w:t>
            </w:r>
          </w:p>
        </w:tc>
      </w:tr>
    </w:tbl>
    <w:p w14:paraId="49F0D10C" w14:textId="77777777" w:rsidR="00C73699" w:rsidRDefault="00C73699" w:rsidP="00C73699">
      <w:pPr>
        <w:rPr>
          <w:rFonts w:cs="Arial"/>
          <w:b/>
          <w:szCs w:val="22"/>
        </w:rPr>
      </w:pPr>
    </w:p>
    <w:p w14:paraId="36908EEE" w14:textId="77777777" w:rsidR="00C73699" w:rsidRDefault="00C73699" w:rsidP="00C73699">
      <w:pPr>
        <w:rPr>
          <w:rFonts w:cs="Arial"/>
          <w:szCs w:val="22"/>
        </w:rPr>
      </w:pPr>
    </w:p>
    <w:p w14:paraId="62C80492" w14:textId="77777777" w:rsidR="00C73699" w:rsidRDefault="00C73699" w:rsidP="00C73699">
      <w:pPr>
        <w:rPr>
          <w:rFonts w:cs="Arial"/>
          <w:szCs w:val="22"/>
        </w:rPr>
      </w:pPr>
    </w:p>
    <w:p w14:paraId="2E643327" w14:textId="77777777" w:rsidR="00C73699" w:rsidRDefault="00C73699" w:rsidP="00C73699">
      <w:pPr>
        <w:rPr>
          <w:rFonts w:cs="Arial"/>
          <w:szCs w:val="22"/>
        </w:rPr>
      </w:pPr>
    </w:p>
    <w:p w14:paraId="3E66893D" w14:textId="1339F338" w:rsidR="001B31A7" w:rsidRDefault="001B31A7" w:rsidP="001B31A7">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ejerció la cantidad de </w:t>
      </w:r>
      <w:r w:rsidR="00AC55E2" w:rsidRPr="00AD0A69">
        <w:rPr>
          <w:rFonts w:cs="Arial"/>
          <w:lang w:val="es-MX" w:eastAsia="es-MX"/>
        </w:rPr>
        <w:t xml:space="preserve">9 </w:t>
      </w:r>
      <w:r w:rsidR="00AC55E2" w:rsidRPr="00AD0A69">
        <w:rPr>
          <w:rFonts w:cs="Arial"/>
          <w:szCs w:val="22"/>
        </w:rPr>
        <w:t xml:space="preserve">millones </w:t>
      </w:r>
      <w:r w:rsidR="00AC55E2" w:rsidRPr="00AD0A69">
        <w:rPr>
          <w:rFonts w:cs="Arial"/>
          <w:lang w:val="es-MX" w:eastAsia="es-MX"/>
        </w:rPr>
        <w:t xml:space="preserve">562 </w:t>
      </w:r>
      <w:r w:rsidR="00AC55E2" w:rsidRPr="00AD0A69">
        <w:rPr>
          <w:rFonts w:cs="Arial"/>
          <w:szCs w:val="22"/>
        </w:rPr>
        <w:t xml:space="preserve">mil </w:t>
      </w:r>
      <w:r w:rsidR="00AC55E2" w:rsidRPr="00AD0A69">
        <w:rPr>
          <w:rFonts w:cs="Arial"/>
          <w:lang w:val="es-MX" w:eastAsia="es-MX"/>
        </w:rPr>
        <w:t>207</w:t>
      </w:r>
      <w:r w:rsidR="00AC55E2" w:rsidRPr="00AD0A69">
        <w:rPr>
          <w:rFonts w:cs="Arial"/>
          <w:szCs w:val="22"/>
        </w:rPr>
        <w:t xml:space="preserve"> pesos</w:t>
      </w:r>
      <w:r w:rsidRPr="009D799F">
        <w:rPr>
          <w:rFonts w:cs="Arial"/>
          <w:szCs w:val="22"/>
        </w:rPr>
        <w:t>,</w:t>
      </w:r>
      <w:r>
        <w:rPr>
          <w:rFonts w:cs="Arial"/>
          <w:szCs w:val="22"/>
        </w:rPr>
        <w:t xml:space="preserve"> de los cuales la muestra auditada fue de un </w:t>
      </w:r>
      <w:r w:rsidR="00F52413">
        <w:rPr>
          <w:rFonts w:cs="Arial"/>
          <w:szCs w:val="22"/>
        </w:rPr>
        <w:t>43</w:t>
      </w:r>
      <w:r>
        <w:rPr>
          <w:rFonts w:cs="Arial"/>
          <w:szCs w:val="22"/>
        </w:rPr>
        <w:t xml:space="preserve"> por ciento.</w:t>
      </w:r>
    </w:p>
    <w:p w14:paraId="25A60C4E" w14:textId="77777777" w:rsidR="00C73699" w:rsidRPr="00DF221C" w:rsidRDefault="00C73699" w:rsidP="00C73699">
      <w:pPr>
        <w:rPr>
          <w:rFonts w:cs="Arial"/>
          <w:szCs w:val="22"/>
        </w:rPr>
      </w:pPr>
    </w:p>
    <w:p w14:paraId="6E32C98D" w14:textId="77777777" w:rsidR="00C73699" w:rsidRPr="001954FE" w:rsidRDefault="00C73699" w:rsidP="00C73699">
      <w:pPr>
        <w:rPr>
          <w:rFonts w:cs="Arial"/>
          <w:b/>
          <w:szCs w:val="22"/>
        </w:rPr>
      </w:pPr>
      <w:r w:rsidRPr="001954FE">
        <w:rPr>
          <w:rFonts w:cs="Arial"/>
          <w:b/>
          <w:szCs w:val="22"/>
        </w:rPr>
        <w:t>PROCEDIMIENTOS DE AUDITORÍA APLICADOS</w:t>
      </w:r>
    </w:p>
    <w:p w14:paraId="2D6B0F6C" w14:textId="77777777" w:rsidR="00C73699" w:rsidRPr="008A5663" w:rsidRDefault="00C73699" w:rsidP="00C73699">
      <w:pPr>
        <w:rPr>
          <w:rFonts w:cs="Arial"/>
          <w:szCs w:val="22"/>
          <w:highlight w:val="yellow"/>
        </w:rPr>
      </w:pPr>
    </w:p>
    <w:p w14:paraId="7F3B7CF8" w14:textId="77777777" w:rsidR="00C73699" w:rsidRPr="004E2BFC" w:rsidRDefault="00C73699" w:rsidP="00C73699">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28363506" w14:textId="77777777" w:rsidR="00C73699" w:rsidRPr="001954FE" w:rsidRDefault="00C73699" w:rsidP="00C73699">
      <w:pPr>
        <w:rPr>
          <w:rFonts w:cs="Arial"/>
          <w:szCs w:val="22"/>
        </w:rPr>
      </w:pPr>
    </w:p>
    <w:p w14:paraId="429CF5A1" w14:textId="77777777" w:rsidR="00C73699" w:rsidRPr="00797128" w:rsidRDefault="00C73699" w:rsidP="00C73699">
      <w:pPr>
        <w:pStyle w:val="Prrafodelista"/>
        <w:numPr>
          <w:ilvl w:val="0"/>
          <w:numId w:val="37"/>
        </w:numPr>
        <w:rPr>
          <w:rFonts w:ascii="Arial" w:hAnsi="Arial" w:cs="Arial"/>
          <w:bCs/>
          <w:szCs w:val="22"/>
        </w:rPr>
      </w:pPr>
      <w:bookmarkStart w:id="1" w:name="_Hlk120788538"/>
      <w:r>
        <w:rPr>
          <w:rFonts w:ascii="Arial" w:hAnsi="Arial" w:cs="Arial"/>
          <w:bCs/>
          <w:szCs w:val="22"/>
        </w:rPr>
        <w:t>Revisión y análisis a las cifras que muestran los Estados Financieros al 31 de diciembre de 2021.</w:t>
      </w:r>
    </w:p>
    <w:bookmarkEnd w:id="1"/>
    <w:p w14:paraId="1A880226" w14:textId="285583D6" w:rsidR="00C73699" w:rsidRDefault="00C73699" w:rsidP="00C73699">
      <w:pPr>
        <w:rPr>
          <w:rFonts w:cs="Arial"/>
          <w:bCs/>
          <w:szCs w:val="22"/>
        </w:rPr>
      </w:pPr>
    </w:p>
    <w:p w14:paraId="7C9BA984" w14:textId="015AB3B1" w:rsidR="00C466B3" w:rsidRDefault="0071040C" w:rsidP="00C466B3">
      <w:pPr>
        <w:rPr>
          <w:rFonts w:cs="Arial"/>
          <w:szCs w:val="22"/>
        </w:rPr>
      </w:pPr>
      <w:r>
        <w:rPr>
          <w:rFonts w:cs="Arial"/>
          <w:b/>
          <w:bCs/>
          <w:szCs w:val="22"/>
        </w:rPr>
        <w:t>1</w:t>
      </w:r>
      <w:r w:rsidR="00C466B3" w:rsidRPr="00EB5930">
        <w:rPr>
          <w:rFonts w:cs="Arial"/>
          <w:b/>
          <w:bCs/>
          <w:szCs w:val="22"/>
        </w:rPr>
        <w:t>.</w:t>
      </w:r>
      <w:r w:rsidR="005C016D">
        <w:rPr>
          <w:rFonts w:cs="Arial"/>
          <w:b/>
          <w:bCs/>
          <w:szCs w:val="22"/>
        </w:rPr>
        <w:t>1</w:t>
      </w:r>
      <w:r w:rsidR="00C466B3" w:rsidRPr="00EF387B">
        <w:rPr>
          <w:rFonts w:cs="Arial"/>
          <w:szCs w:val="22"/>
        </w:rPr>
        <w:t xml:space="preserve"> </w:t>
      </w:r>
      <w:r w:rsidR="005C016D">
        <w:rPr>
          <w:rFonts w:cs="Arial"/>
          <w:szCs w:val="22"/>
        </w:rPr>
        <w:t>C</w:t>
      </w:r>
      <w:r w:rsidR="00C466B3" w:rsidRPr="00E469A9">
        <w:rPr>
          <w:rFonts w:cs="Arial"/>
          <w:szCs w:val="22"/>
        </w:rPr>
        <w:t>onfirm</w:t>
      </w:r>
      <w:r w:rsidR="005C016D">
        <w:rPr>
          <w:rFonts w:cs="Arial"/>
          <w:szCs w:val="22"/>
        </w:rPr>
        <w:t>ar</w:t>
      </w:r>
      <w:r w:rsidR="00C466B3" w:rsidRPr="00E469A9">
        <w:rPr>
          <w:rFonts w:cs="Arial"/>
          <w:szCs w:val="22"/>
        </w:rPr>
        <w:t xml:space="preserve"> que el inventario físico de</w:t>
      </w:r>
      <w:r w:rsidR="00C466B3">
        <w:rPr>
          <w:rFonts w:cs="Arial"/>
          <w:szCs w:val="22"/>
        </w:rPr>
        <w:t xml:space="preserve"> la Entidad Fiscalizada</w:t>
      </w:r>
      <w:r w:rsidR="00C466B3" w:rsidRPr="00E469A9">
        <w:rPr>
          <w:rFonts w:cs="Arial"/>
          <w:szCs w:val="22"/>
        </w:rPr>
        <w:t xml:space="preserve"> se encuentre debidamente conciliado con los registros contables</w:t>
      </w:r>
      <w:r w:rsidR="00C466B3">
        <w:rPr>
          <w:rFonts w:cs="Arial"/>
          <w:szCs w:val="22"/>
        </w:rPr>
        <w:t>.</w:t>
      </w:r>
    </w:p>
    <w:p w14:paraId="7AC33279" w14:textId="77777777" w:rsidR="00C466B3" w:rsidRDefault="00C466B3" w:rsidP="00C466B3">
      <w:pPr>
        <w:rPr>
          <w:rFonts w:cs="Arial"/>
          <w:szCs w:val="22"/>
        </w:rPr>
      </w:pPr>
    </w:p>
    <w:p w14:paraId="2D74402C" w14:textId="1BC5765E" w:rsidR="00C466B3" w:rsidRPr="004403DF" w:rsidRDefault="0071040C" w:rsidP="00C466B3">
      <w:pPr>
        <w:rPr>
          <w:rFonts w:cs="Arial"/>
          <w:bCs/>
          <w:szCs w:val="22"/>
        </w:rPr>
      </w:pPr>
      <w:r>
        <w:rPr>
          <w:rFonts w:cs="Arial"/>
          <w:b/>
          <w:bCs/>
          <w:szCs w:val="22"/>
        </w:rPr>
        <w:t>1</w:t>
      </w:r>
      <w:r w:rsidR="00C466B3" w:rsidRPr="00EB5930">
        <w:rPr>
          <w:rFonts w:cs="Arial"/>
          <w:b/>
          <w:bCs/>
          <w:szCs w:val="22"/>
        </w:rPr>
        <w:t>.</w:t>
      </w:r>
      <w:r w:rsidR="005C016D">
        <w:rPr>
          <w:rFonts w:cs="Arial"/>
          <w:b/>
          <w:bCs/>
          <w:szCs w:val="22"/>
        </w:rPr>
        <w:t>2</w:t>
      </w:r>
      <w:r w:rsidR="00C466B3" w:rsidRPr="00EF387B">
        <w:rPr>
          <w:rFonts w:cs="Arial"/>
          <w:szCs w:val="22"/>
        </w:rPr>
        <w:t xml:space="preserve"> </w:t>
      </w:r>
      <w:r w:rsidR="00DE5602">
        <w:rPr>
          <w:rFonts w:cs="Arial"/>
          <w:szCs w:val="22"/>
        </w:rPr>
        <w:t>C</w:t>
      </w:r>
      <w:r w:rsidR="00C466B3" w:rsidRPr="00E469A9">
        <w:rPr>
          <w:rFonts w:cs="Arial"/>
          <w:szCs w:val="22"/>
        </w:rPr>
        <w:t>onstat</w:t>
      </w:r>
      <w:r w:rsidR="00DE5602">
        <w:rPr>
          <w:rFonts w:cs="Arial"/>
          <w:szCs w:val="22"/>
        </w:rPr>
        <w:t>ar</w:t>
      </w:r>
      <w:r w:rsidR="00C466B3" w:rsidRPr="00E469A9">
        <w:rPr>
          <w:rFonts w:cs="Arial"/>
          <w:szCs w:val="22"/>
        </w:rPr>
        <w:t xml:space="preserve"> que se efectuó el registro de las Depreciaciones y Amortizaciones de los bienes muebles e inmuebles, correspondientes al ejercicio sujeto a </w:t>
      </w:r>
      <w:r w:rsidR="00C466B3" w:rsidRPr="00EF387B">
        <w:rPr>
          <w:rFonts w:cs="Arial"/>
          <w:szCs w:val="22"/>
        </w:rPr>
        <w:t>revisión.</w:t>
      </w:r>
    </w:p>
    <w:p w14:paraId="5FCEA755" w14:textId="260BD0C1" w:rsidR="00C466B3" w:rsidRDefault="00C466B3" w:rsidP="00C466B3">
      <w:pPr>
        <w:rPr>
          <w:rFonts w:cs="Arial"/>
          <w:bCs/>
          <w:szCs w:val="22"/>
        </w:rPr>
      </w:pPr>
    </w:p>
    <w:p w14:paraId="2C76D020" w14:textId="4AD69AA3" w:rsidR="00C466B3" w:rsidRDefault="0071040C" w:rsidP="00C466B3">
      <w:pPr>
        <w:rPr>
          <w:rFonts w:cs="Arial"/>
          <w:szCs w:val="22"/>
        </w:rPr>
      </w:pPr>
      <w:r>
        <w:rPr>
          <w:rFonts w:cs="Arial"/>
          <w:b/>
          <w:szCs w:val="22"/>
        </w:rPr>
        <w:t>1.</w:t>
      </w:r>
      <w:r w:rsidR="00F72F1B" w:rsidRPr="00F72F1B">
        <w:rPr>
          <w:rFonts w:cs="Arial"/>
          <w:b/>
          <w:szCs w:val="22"/>
        </w:rPr>
        <w:t>3</w:t>
      </w:r>
      <w:r w:rsidR="00C466B3" w:rsidRPr="00EF387B">
        <w:rPr>
          <w:rFonts w:cs="Arial"/>
          <w:szCs w:val="22"/>
        </w:rPr>
        <w:t xml:space="preserve"> </w:t>
      </w:r>
      <w:r w:rsidR="00DE5602">
        <w:rPr>
          <w:rFonts w:cs="Arial"/>
          <w:szCs w:val="22"/>
        </w:rPr>
        <w:t>V</w:t>
      </w:r>
      <w:r w:rsidR="00C466B3" w:rsidRPr="008D005E">
        <w:rPr>
          <w:rFonts w:cs="Arial"/>
          <w:szCs w:val="22"/>
        </w:rPr>
        <w:t>erific</w:t>
      </w:r>
      <w:r w:rsidR="00DE5602">
        <w:rPr>
          <w:rFonts w:cs="Arial"/>
          <w:szCs w:val="22"/>
        </w:rPr>
        <w:t>ar</w:t>
      </w:r>
      <w:r w:rsidR="00C466B3" w:rsidRPr="008D005E">
        <w:rPr>
          <w:rFonts w:cs="Arial"/>
          <w:szCs w:val="22"/>
        </w:rPr>
        <w:t xml:space="preserve"> que la Entidad </w:t>
      </w:r>
      <w:r>
        <w:rPr>
          <w:rFonts w:cs="Arial"/>
          <w:szCs w:val="22"/>
        </w:rPr>
        <w:t xml:space="preserve">Fiscalizada </w:t>
      </w:r>
      <w:r w:rsidR="00DE5602">
        <w:rPr>
          <w:rFonts w:cs="Arial"/>
          <w:szCs w:val="22"/>
        </w:rPr>
        <w:t xml:space="preserve">haya </w:t>
      </w:r>
      <w:r w:rsidR="00C466B3" w:rsidRPr="008D005E">
        <w:rPr>
          <w:rFonts w:cs="Arial"/>
          <w:szCs w:val="22"/>
        </w:rPr>
        <w:t>cumpli</w:t>
      </w:r>
      <w:r w:rsidR="00DE5602">
        <w:rPr>
          <w:rFonts w:cs="Arial"/>
          <w:szCs w:val="22"/>
        </w:rPr>
        <w:t>do</w:t>
      </w:r>
      <w:r w:rsidR="00C466B3" w:rsidRPr="008D005E">
        <w:rPr>
          <w:rFonts w:cs="Arial"/>
          <w:szCs w:val="22"/>
        </w:rPr>
        <w:t xml:space="preserve"> con el principio de sostenibilidad presupuestal</w:t>
      </w:r>
      <w:r w:rsidR="00C466B3">
        <w:rPr>
          <w:rFonts w:cs="Arial"/>
          <w:szCs w:val="22"/>
        </w:rPr>
        <w:t>.</w:t>
      </w:r>
    </w:p>
    <w:p w14:paraId="651B31DE" w14:textId="77777777" w:rsidR="00C466B3" w:rsidRDefault="00C466B3" w:rsidP="00C466B3">
      <w:pPr>
        <w:rPr>
          <w:rFonts w:cs="Arial"/>
          <w:szCs w:val="22"/>
        </w:rPr>
      </w:pPr>
    </w:p>
    <w:p w14:paraId="5F54EE1C" w14:textId="500D5964" w:rsidR="00C466B3" w:rsidRDefault="0071040C" w:rsidP="00C466B3">
      <w:pPr>
        <w:rPr>
          <w:rFonts w:cs="Arial"/>
          <w:szCs w:val="22"/>
        </w:rPr>
      </w:pPr>
      <w:r>
        <w:rPr>
          <w:rFonts w:cs="Arial"/>
          <w:b/>
          <w:bCs/>
          <w:szCs w:val="22"/>
        </w:rPr>
        <w:t>1.4</w:t>
      </w:r>
      <w:r w:rsidR="00C466B3" w:rsidRPr="00EF387B">
        <w:rPr>
          <w:rFonts w:cs="Arial"/>
          <w:szCs w:val="22"/>
        </w:rPr>
        <w:t xml:space="preserve"> </w:t>
      </w:r>
      <w:r w:rsidR="00DE5602">
        <w:rPr>
          <w:rFonts w:cs="Arial"/>
          <w:szCs w:val="22"/>
        </w:rPr>
        <w:t>C</w:t>
      </w:r>
      <w:r w:rsidR="00C466B3" w:rsidRPr="008D005E">
        <w:rPr>
          <w:rFonts w:cs="Arial"/>
          <w:szCs w:val="22"/>
        </w:rPr>
        <w:t>onfirm</w:t>
      </w:r>
      <w:r w:rsidR="00DE5602">
        <w:rPr>
          <w:rFonts w:cs="Arial"/>
          <w:szCs w:val="22"/>
        </w:rPr>
        <w:t>ar</w:t>
      </w:r>
      <w:r w:rsidR="00C466B3"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C466B3">
        <w:rPr>
          <w:rFonts w:cs="Arial"/>
          <w:szCs w:val="22"/>
        </w:rPr>
        <w:t>.</w:t>
      </w:r>
    </w:p>
    <w:p w14:paraId="6EC72B6B" w14:textId="7A9B001C" w:rsidR="00C73699" w:rsidRDefault="00DE5602" w:rsidP="00C73699">
      <w:pPr>
        <w:rPr>
          <w:rFonts w:cs="Arial"/>
          <w:szCs w:val="22"/>
        </w:rPr>
      </w:pPr>
      <w:r>
        <w:rPr>
          <w:rFonts w:cs="Arial"/>
          <w:szCs w:val="22"/>
        </w:rPr>
        <w:t xml:space="preserve"> </w:t>
      </w:r>
    </w:p>
    <w:p w14:paraId="4ADD564E" w14:textId="024C0F28" w:rsidR="00886C3D" w:rsidRDefault="0071040C" w:rsidP="00886C3D">
      <w:pPr>
        <w:rPr>
          <w:rFonts w:cs="Arial"/>
          <w:szCs w:val="22"/>
        </w:rPr>
      </w:pPr>
      <w:r>
        <w:rPr>
          <w:rFonts w:cs="Arial"/>
          <w:b/>
          <w:bCs/>
          <w:szCs w:val="22"/>
        </w:rPr>
        <w:t>1.5</w:t>
      </w:r>
      <w:r w:rsidR="00886C3D" w:rsidRPr="00EB5930">
        <w:rPr>
          <w:rFonts w:cs="Arial"/>
          <w:szCs w:val="22"/>
        </w:rPr>
        <w:t xml:space="preserve"> </w:t>
      </w:r>
      <w:r w:rsidR="00886C3D" w:rsidRPr="008D005E">
        <w:rPr>
          <w:rFonts w:cs="Arial"/>
          <w:szCs w:val="22"/>
        </w:rPr>
        <w:t>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r w:rsidR="00886C3D">
        <w:rPr>
          <w:rFonts w:cs="Arial"/>
          <w:szCs w:val="22"/>
        </w:rPr>
        <w:t>.</w:t>
      </w:r>
    </w:p>
    <w:p w14:paraId="2844D4FD" w14:textId="77777777" w:rsidR="00886C3D" w:rsidRDefault="00886C3D" w:rsidP="00886C3D">
      <w:pPr>
        <w:rPr>
          <w:rFonts w:cs="Arial"/>
          <w:szCs w:val="22"/>
        </w:rPr>
      </w:pPr>
    </w:p>
    <w:p w14:paraId="73ABC1E7" w14:textId="3E13AF26" w:rsidR="00886C3D" w:rsidRPr="00E469A9" w:rsidRDefault="0071040C" w:rsidP="00886C3D">
      <w:pPr>
        <w:rPr>
          <w:rFonts w:cs="Arial"/>
          <w:szCs w:val="22"/>
        </w:rPr>
      </w:pPr>
      <w:r>
        <w:rPr>
          <w:rFonts w:cs="Arial"/>
          <w:b/>
          <w:bCs/>
          <w:szCs w:val="22"/>
        </w:rPr>
        <w:t>1.6</w:t>
      </w:r>
      <w:r w:rsidR="00886C3D" w:rsidRPr="00EB5930">
        <w:rPr>
          <w:rFonts w:cs="Arial"/>
          <w:szCs w:val="22"/>
        </w:rPr>
        <w:t xml:space="preserve"> </w:t>
      </w:r>
      <w:r w:rsidR="00886C3D" w:rsidRPr="008D005E">
        <w:rPr>
          <w:rFonts w:cs="Arial"/>
          <w:szCs w:val="22"/>
        </w:rPr>
        <w:t xml:space="preserve">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w:t>
      </w:r>
      <w:r w:rsidR="00886C3D" w:rsidRPr="008D005E">
        <w:rPr>
          <w:rFonts w:cs="Arial"/>
          <w:szCs w:val="22"/>
        </w:rPr>
        <w:lastRenderedPageBreak/>
        <w:t xml:space="preserve">Anticipo a Contratistas por Obras Públicas a Corto Plazo y Otros Derechos a Recibir Bienes o Servicios a Corto Plazo, con la </w:t>
      </w:r>
      <w:r w:rsidR="00886C3D">
        <w:rPr>
          <w:rFonts w:cs="Arial"/>
          <w:szCs w:val="22"/>
        </w:rPr>
        <w:t>finalidad</w:t>
      </w:r>
      <w:r w:rsidR="00886C3D" w:rsidRPr="008D005E">
        <w:rPr>
          <w:rFonts w:cs="Arial"/>
          <w:szCs w:val="22"/>
        </w:rPr>
        <w:t xml:space="preserve"> de verificar que dichos anticipos se hayan otorgado para obtener bienes o servicios previstos por la entidad fiscalizada</w:t>
      </w:r>
      <w:r w:rsidR="00886C3D">
        <w:rPr>
          <w:rFonts w:cs="Arial"/>
          <w:szCs w:val="22"/>
        </w:rPr>
        <w:t>.</w:t>
      </w:r>
    </w:p>
    <w:p w14:paraId="16B2DE33" w14:textId="77777777" w:rsidR="00C466B3" w:rsidRDefault="00C466B3" w:rsidP="00C73699">
      <w:pPr>
        <w:rPr>
          <w:rFonts w:cs="Arial"/>
          <w:szCs w:val="22"/>
        </w:rPr>
      </w:pPr>
    </w:p>
    <w:p w14:paraId="69D989E0" w14:textId="66E9342A" w:rsidR="00C73699" w:rsidRDefault="00C73699" w:rsidP="00C73699">
      <w:pPr>
        <w:rPr>
          <w:rFonts w:cs="Arial"/>
          <w:b/>
          <w:bCs/>
          <w:szCs w:val="22"/>
        </w:rPr>
      </w:pPr>
      <w:r w:rsidRPr="00AE7D25">
        <w:rPr>
          <w:b/>
        </w:rPr>
        <w:t xml:space="preserve">SERVIDORES PÚBLICOS DE LA AUDITORÍA SUPERIOR A CARGO DE REALIZAR LA AUDITORÍA </w:t>
      </w:r>
      <w:r w:rsidR="00393050">
        <w:rPr>
          <w:b/>
        </w:rPr>
        <w:t>FINANCIERA</w:t>
      </w:r>
    </w:p>
    <w:p w14:paraId="598B46B1" w14:textId="77777777" w:rsidR="00C73699" w:rsidRPr="00AE7D25" w:rsidRDefault="00C73699" w:rsidP="00C73699">
      <w:pPr>
        <w:rPr>
          <w:rFonts w:cs="Arial"/>
          <w:b/>
          <w:bCs/>
          <w:szCs w:val="22"/>
        </w:rPr>
      </w:pPr>
    </w:p>
    <w:p w14:paraId="4F23D8DB" w14:textId="056FD2D4" w:rsidR="00C73699" w:rsidRDefault="00450B9A" w:rsidP="00C73699">
      <w:pPr>
        <w:rPr>
          <w:rFonts w:cs="Arial"/>
          <w:b/>
          <w:szCs w:val="22"/>
        </w:rPr>
      </w:pPr>
      <w:r>
        <w:rPr>
          <w:noProof/>
        </w:rPr>
        <mc:AlternateContent>
          <mc:Choice Requires="wps">
            <w:drawing>
              <wp:anchor distT="0" distB="0" distL="114300" distR="114300" simplePos="0" relativeHeight="251659264" behindDoc="0" locked="0" layoutInCell="1" allowOverlap="1" wp14:anchorId="2DF7C9E9" wp14:editId="1609C0A5">
                <wp:simplePos x="0" y="0"/>
                <wp:positionH relativeFrom="column">
                  <wp:posOffset>0</wp:posOffset>
                </wp:positionH>
                <wp:positionV relativeFrom="paragraph">
                  <wp:posOffset>0</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97904F" id="Rectángulo 2" o:spid="_x0000_s1026" style="position:absolute;margin-left:0;margin-top:0;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" fillcolor="white [3212]" strokecolor="white [3212]" strokeweight="1pt"/>
            </w:pict>
          </mc:Fallback>
        </mc:AlternateContent>
      </w:r>
    </w:p>
    <w:tbl>
      <w:tblPr>
        <w:tblStyle w:val="Estilo1"/>
        <w:tblW w:w="3473" w:type="pct"/>
        <w:jc w:val="center"/>
        <w:tblLayout w:type="fixed"/>
        <w:tblLook w:val="04A0" w:firstRow="1" w:lastRow="0" w:firstColumn="1" w:lastColumn="0" w:noHBand="0" w:noVBand="1"/>
      </w:tblPr>
      <w:tblGrid>
        <w:gridCol w:w="487"/>
        <w:gridCol w:w="3955"/>
        <w:gridCol w:w="1697"/>
      </w:tblGrid>
      <w:tr w:rsidR="005A08CB" w:rsidRPr="00A043FB" w14:paraId="49A6F184" w14:textId="77777777" w:rsidTr="0071040C">
        <w:trPr>
          <w:cnfStyle w:val="100000000000" w:firstRow="1" w:lastRow="0" w:firstColumn="0" w:lastColumn="0" w:oddVBand="0" w:evenVBand="0" w:oddHBand="0" w:evenHBand="0" w:firstRowFirstColumn="0" w:firstRowLastColumn="0" w:lastRowFirstColumn="0" w:lastRowLastColumn="0"/>
          <w:trHeight w:val="217"/>
          <w:jc w:val="center"/>
        </w:trPr>
        <w:tc>
          <w:tcPr>
            <w:tcW w:w="397" w:type="pct"/>
            <w:vMerge w:val="restart"/>
          </w:tcPr>
          <w:p w14:paraId="14DB1A3C" w14:textId="77777777" w:rsidR="005A08CB" w:rsidRPr="00A043FB" w:rsidRDefault="005A08CB" w:rsidP="00CF7485">
            <w:pPr>
              <w:pStyle w:val="Textoindependiente"/>
              <w:jc w:val="center"/>
              <w:outlineLvl w:val="0"/>
              <w:rPr>
                <w:b w:val="0"/>
                <w:bCs w:val="0"/>
                <w:sz w:val="16"/>
                <w:szCs w:val="16"/>
              </w:rPr>
            </w:pPr>
            <w:bookmarkStart w:id="2" w:name="_Hlk123814280"/>
            <w:r w:rsidRPr="00A043FB">
              <w:rPr>
                <w:sz w:val="16"/>
                <w:szCs w:val="16"/>
              </w:rPr>
              <w:t>No.</w:t>
            </w:r>
          </w:p>
        </w:tc>
        <w:tc>
          <w:tcPr>
            <w:tcW w:w="3221" w:type="pct"/>
            <w:vMerge w:val="restart"/>
          </w:tcPr>
          <w:p w14:paraId="348A1A95" w14:textId="77777777" w:rsidR="005A08CB" w:rsidRPr="00A043FB" w:rsidRDefault="005A08CB" w:rsidP="00CF7485">
            <w:pPr>
              <w:jc w:val="center"/>
              <w:rPr>
                <w:rFonts w:cs="Arial"/>
                <w:b w:val="0"/>
                <w:bCs w:val="0"/>
                <w:sz w:val="16"/>
                <w:szCs w:val="16"/>
              </w:rPr>
            </w:pPr>
            <w:r w:rsidRPr="00A043FB">
              <w:rPr>
                <w:rFonts w:cs="Arial"/>
                <w:sz w:val="16"/>
                <w:szCs w:val="16"/>
              </w:rPr>
              <w:t>NOMBRE</w:t>
            </w:r>
          </w:p>
        </w:tc>
        <w:tc>
          <w:tcPr>
            <w:tcW w:w="1382" w:type="pct"/>
            <w:vMerge w:val="restart"/>
          </w:tcPr>
          <w:p w14:paraId="312A951B" w14:textId="77777777" w:rsidR="005A08CB" w:rsidRPr="00A043FB" w:rsidRDefault="005A08CB" w:rsidP="00CF7485">
            <w:pPr>
              <w:jc w:val="center"/>
              <w:rPr>
                <w:rFonts w:cs="Arial"/>
                <w:b w:val="0"/>
                <w:bCs w:val="0"/>
                <w:sz w:val="16"/>
                <w:szCs w:val="16"/>
              </w:rPr>
            </w:pPr>
            <w:r w:rsidRPr="00A043FB">
              <w:rPr>
                <w:rFonts w:cs="Arial"/>
                <w:sz w:val="16"/>
                <w:szCs w:val="16"/>
              </w:rPr>
              <w:t>CARGO</w:t>
            </w:r>
          </w:p>
        </w:tc>
      </w:tr>
      <w:tr w:rsidR="005A08CB" w:rsidRPr="00A043FB" w14:paraId="5FF0482A" w14:textId="77777777" w:rsidTr="0071040C">
        <w:trPr>
          <w:cnfStyle w:val="000000100000" w:firstRow="0" w:lastRow="0" w:firstColumn="0" w:lastColumn="0" w:oddVBand="0" w:evenVBand="0" w:oddHBand="1" w:evenHBand="0" w:firstRowFirstColumn="0" w:firstRowLastColumn="0" w:lastRowFirstColumn="0" w:lastRowLastColumn="0"/>
          <w:trHeight w:val="212"/>
          <w:jc w:val="center"/>
        </w:trPr>
        <w:tc>
          <w:tcPr>
            <w:tcW w:w="397" w:type="pct"/>
            <w:vMerge/>
          </w:tcPr>
          <w:p w14:paraId="248C4473" w14:textId="77777777" w:rsidR="005A08CB" w:rsidRPr="00A043FB" w:rsidRDefault="005A08CB" w:rsidP="00CF7485">
            <w:pPr>
              <w:pStyle w:val="Textoindependiente"/>
              <w:jc w:val="center"/>
              <w:outlineLvl w:val="0"/>
              <w:rPr>
                <w:b/>
                <w:sz w:val="16"/>
                <w:szCs w:val="16"/>
              </w:rPr>
            </w:pPr>
          </w:p>
        </w:tc>
        <w:tc>
          <w:tcPr>
            <w:tcW w:w="3221" w:type="pct"/>
            <w:vMerge/>
          </w:tcPr>
          <w:p w14:paraId="342AAE0B" w14:textId="77777777" w:rsidR="005A08CB" w:rsidRPr="00A043FB" w:rsidRDefault="005A08CB" w:rsidP="00CF7485">
            <w:pPr>
              <w:jc w:val="center"/>
              <w:rPr>
                <w:rFonts w:cs="Arial"/>
                <w:b/>
                <w:sz w:val="16"/>
                <w:szCs w:val="16"/>
              </w:rPr>
            </w:pPr>
          </w:p>
        </w:tc>
        <w:tc>
          <w:tcPr>
            <w:tcW w:w="1382" w:type="pct"/>
            <w:vMerge/>
          </w:tcPr>
          <w:p w14:paraId="6463B3A9" w14:textId="77777777" w:rsidR="005A08CB" w:rsidRPr="00A043FB" w:rsidRDefault="005A08CB" w:rsidP="00CF7485">
            <w:pPr>
              <w:jc w:val="center"/>
              <w:rPr>
                <w:rFonts w:cs="Arial"/>
                <w:b/>
                <w:sz w:val="16"/>
                <w:szCs w:val="16"/>
              </w:rPr>
            </w:pPr>
          </w:p>
        </w:tc>
      </w:tr>
      <w:tr w:rsidR="005A08CB" w:rsidRPr="00A043FB" w14:paraId="4112DFD6" w14:textId="77777777" w:rsidTr="0071040C">
        <w:trPr>
          <w:cnfStyle w:val="000000010000" w:firstRow="0" w:lastRow="0" w:firstColumn="0" w:lastColumn="0" w:oddVBand="0" w:evenVBand="0" w:oddHBand="0" w:evenHBand="1" w:firstRowFirstColumn="0" w:firstRowLastColumn="0" w:lastRowFirstColumn="0" w:lastRowLastColumn="0"/>
          <w:trHeight w:val="217"/>
          <w:jc w:val="center"/>
        </w:trPr>
        <w:tc>
          <w:tcPr>
            <w:tcW w:w="397" w:type="pct"/>
            <w:shd w:val="clear" w:color="auto" w:fill="D9D9D9" w:themeFill="background1" w:themeFillShade="D9"/>
          </w:tcPr>
          <w:p w14:paraId="200D5112" w14:textId="77777777" w:rsidR="005A08CB" w:rsidRPr="00D17240" w:rsidRDefault="005A08CB" w:rsidP="00CF7485">
            <w:pPr>
              <w:pStyle w:val="Textoindependiente"/>
              <w:jc w:val="center"/>
              <w:outlineLvl w:val="0"/>
              <w:rPr>
                <w:b/>
                <w:sz w:val="16"/>
                <w:szCs w:val="16"/>
              </w:rPr>
            </w:pPr>
            <w:r w:rsidRPr="00D17240">
              <w:rPr>
                <w:b/>
                <w:sz w:val="16"/>
                <w:szCs w:val="16"/>
              </w:rPr>
              <w:t>1</w:t>
            </w:r>
          </w:p>
        </w:tc>
        <w:tc>
          <w:tcPr>
            <w:tcW w:w="3221" w:type="pct"/>
            <w:shd w:val="clear" w:color="auto" w:fill="D9D9D9" w:themeFill="background1" w:themeFillShade="D9"/>
          </w:tcPr>
          <w:p w14:paraId="39EBE2E6" w14:textId="77777777" w:rsidR="005A08CB" w:rsidRPr="00D17240" w:rsidRDefault="005A08CB" w:rsidP="00CF7485">
            <w:pPr>
              <w:rPr>
                <w:rFonts w:cs="Arial"/>
                <w:sz w:val="16"/>
                <w:szCs w:val="16"/>
              </w:rPr>
            </w:pPr>
            <w:r w:rsidRPr="00D17240">
              <w:rPr>
                <w:rFonts w:cs="Arial"/>
                <w:sz w:val="16"/>
                <w:szCs w:val="16"/>
              </w:rPr>
              <w:t>C.P.</w:t>
            </w:r>
            <w:r w:rsidRPr="00D17240">
              <w:rPr>
                <w:rFonts w:cs="Arial"/>
                <w:bCs/>
                <w:sz w:val="16"/>
                <w:szCs w:val="16"/>
              </w:rPr>
              <w:t xml:space="preserve"> Marianne Mitzi Díaz Santibáñez</w:t>
            </w:r>
          </w:p>
        </w:tc>
        <w:tc>
          <w:tcPr>
            <w:tcW w:w="1382" w:type="pct"/>
            <w:shd w:val="clear" w:color="auto" w:fill="D9D9D9" w:themeFill="background1" w:themeFillShade="D9"/>
          </w:tcPr>
          <w:p w14:paraId="296C76B6" w14:textId="77777777" w:rsidR="005A08CB" w:rsidRPr="00D17240" w:rsidRDefault="005A08CB" w:rsidP="00CF7485">
            <w:pPr>
              <w:jc w:val="center"/>
              <w:rPr>
                <w:rFonts w:cs="Arial"/>
                <w:sz w:val="16"/>
                <w:szCs w:val="16"/>
              </w:rPr>
            </w:pPr>
            <w:r w:rsidRPr="00D17240">
              <w:rPr>
                <w:rFonts w:cs="Arial"/>
                <w:sz w:val="16"/>
                <w:szCs w:val="16"/>
              </w:rPr>
              <w:t>Auditor</w:t>
            </w:r>
          </w:p>
        </w:tc>
      </w:tr>
      <w:tr w:rsidR="005A08CB" w:rsidRPr="00A043FB" w14:paraId="2D910462" w14:textId="77777777" w:rsidTr="0071040C">
        <w:trPr>
          <w:cnfStyle w:val="000000100000" w:firstRow="0" w:lastRow="0" w:firstColumn="0" w:lastColumn="0" w:oddVBand="0" w:evenVBand="0" w:oddHBand="1" w:evenHBand="0" w:firstRowFirstColumn="0" w:firstRowLastColumn="0" w:lastRowFirstColumn="0" w:lastRowLastColumn="0"/>
          <w:trHeight w:val="217"/>
          <w:jc w:val="center"/>
        </w:trPr>
        <w:tc>
          <w:tcPr>
            <w:tcW w:w="397" w:type="pct"/>
            <w:shd w:val="clear" w:color="auto" w:fill="BFBFBF" w:themeFill="background1" w:themeFillShade="BF"/>
          </w:tcPr>
          <w:p w14:paraId="0C21E5AB" w14:textId="77777777" w:rsidR="005A08CB" w:rsidRPr="00D17240" w:rsidRDefault="005A08CB" w:rsidP="00CF7485">
            <w:pPr>
              <w:pStyle w:val="Textoindependiente"/>
              <w:jc w:val="center"/>
              <w:outlineLvl w:val="0"/>
              <w:rPr>
                <w:b/>
                <w:sz w:val="16"/>
                <w:szCs w:val="16"/>
              </w:rPr>
            </w:pPr>
            <w:r w:rsidRPr="00D17240">
              <w:rPr>
                <w:b/>
                <w:sz w:val="16"/>
                <w:szCs w:val="16"/>
              </w:rPr>
              <w:t>2</w:t>
            </w:r>
          </w:p>
        </w:tc>
        <w:tc>
          <w:tcPr>
            <w:tcW w:w="3221" w:type="pct"/>
            <w:shd w:val="clear" w:color="auto" w:fill="BFBFBF" w:themeFill="background1" w:themeFillShade="BF"/>
          </w:tcPr>
          <w:p w14:paraId="0B748B32" w14:textId="77777777" w:rsidR="005A08CB" w:rsidRPr="00D17240" w:rsidRDefault="005A08CB" w:rsidP="00CF7485">
            <w:pPr>
              <w:rPr>
                <w:rFonts w:cs="Arial"/>
                <w:sz w:val="16"/>
                <w:szCs w:val="16"/>
              </w:rPr>
            </w:pPr>
            <w:r w:rsidRPr="00D17240">
              <w:rPr>
                <w:rFonts w:cs="Arial"/>
                <w:bCs/>
                <w:sz w:val="16"/>
                <w:szCs w:val="16"/>
              </w:rPr>
              <w:t>C.P. Álvaro Chávez García</w:t>
            </w:r>
          </w:p>
        </w:tc>
        <w:tc>
          <w:tcPr>
            <w:tcW w:w="1382" w:type="pct"/>
            <w:shd w:val="clear" w:color="auto" w:fill="BFBFBF" w:themeFill="background1" w:themeFillShade="BF"/>
          </w:tcPr>
          <w:p w14:paraId="110CA7E0" w14:textId="77777777" w:rsidR="005A08CB" w:rsidRPr="00D17240" w:rsidRDefault="005A08CB" w:rsidP="00CF7485">
            <w:pPr>
              <w:jc w:val="center"/>
              <w:rPr>
                <w:rFonts w:cs="Arial"/>
                <w:sz w:val="16"/>
                <w:szCs w:val="16"/>
              </w:rPr>
            </w:pPr>
            <w:r w:rsidRPr="00D17240">
              <w:rPr>
                <w:rFonts w:cs="Arial"/>
                <w:sz w:val="16"/>
                <w:szCs w:val="16"/>
              </w:rPr>
              <w:t>Auditor</w:t>
            </w:r>
          </w:p>
        </w:tc>
      </w:tr>
      <w:bookmarkEnd w:id="2"/>
    </w:tbl>
    <w:p w14:paraId="186BAB02" w14:textId="77777777" w:rsidR="00C73699" w:rsidRDefault="00C73699" w:rsidP="00C73699">
      <w:pPr>
        <w:rPr>
          <w:b/>
          <w:szCs w:val="22"/>
        </w:rPr>
      </w:pPr>
    </w:p>
    <w:p w14:paraId="758C2857" w14:textId="77777777" w:rsidR="00C73699" w:rsidRDefault="00C73699" w:rsidP="00C73699">
      <w:pPr>
        <w:rPr>
          <w:b/>
        </w:rPr>
      </w:pPr>
    </w:p>
    <w:p w14:paraId="1CF48FCA"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6D3CE75C" w14:textId="77777777" w:rsidR="00C73699" w:rsidRDefault="00C73699" w:rsidP="00C73699">
      <w:pPr>
        <w:rPr>
          <w:bCs/>
          <w:szCs w:val="22"/>
        </w:rPr>
      </w:pPr>
    </w:p>
    <w:p w14:paraId="5484B05A"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016E5753" w14:textId="77777777" w:rsidR="00C73699" w:rsidRPr="002118A7" w:rsidRDefault="00C73699" w:rsidP="00C73699">
      <w:pPr>
        <w:rPr>
          <w:rFonts w:cs="Arial"/>
          <w:bCs/>
          <w:szCs w:val="22"/>
        </w:rPr>
      </w:pPr>
    </w:p>
    <w:p w14:paraId="0118AA7A"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2A50BAF4" w14:textId="77777777" w:rsidR="00C73699" w:rsidRDefault="00C73699" w:rsidP="00C73699">
      <w:pPr>
        <w:rPr>
          <w:rFonts w:cs="Arial"/>
          <w:color w:val="00000A"/>
          <w:szCs w:val="22"/>
        </w:rPr>
      </w:pPr>
    </w:p>
    <w:p w14:paraId="7620DD31" w14:textId="3C4B1764" w:rsidR="00C73699" w:rsidRPr="00665331" w:rsidRDefault="00C73699" w:rsidP="00C73699">
      <w:pPr>
        <w:rPr>
          <w:rFonts w:cs="Arial"/>
          <w:color w:val="000000"/>
          <w:szCs w:val="22"/>
          <w:lang w:eastAsia="en-US"/>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 xml:space="preserve">la Ley de Fiscalización </w:t>
      </w:r>
      <w:r w:rsidR="0071040C">
        <w:rPr>
          <w:rFonts w:cs="Arial"/>
          <w:color w:val="00000A"/>
          <w:szCs w:val="22"/>
        </w:rPr>
        <w:t xml:space="preserve">Superior </w:t>
      </w:r>
      <w:r w:rsidRPr="009450A9">
        <w:rPr>
          <w:rFonts w:cs="Arial"/>
          <w:color w:val="00000A"/>
          <w:szCs w:val="22"/>
        </w:rPr>
        <w:t>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Pr="001C60BC">
        <w:rPr>
          <w:rFonts w:cs="Arial"/>
          <w:szCs w:val="22"/>
          <w:lang w:val="es-ES_tradnl"/>
        </w:rPr>
        <w:t>6 de octubre del año 2022</w:t>
      </w:r>
      <w:r w:rsidRPr="00633E6B">
        <w:rPr>
          <w:rFonts w:cs="Arial"/>
          <w:szCs w:val="22"/>
          <w:lang w:val="es-ES_tradnl"/>
        </w:rPr>
        <w:t>,</w:t>
      </w:r>
      <w:r w:rsidRPr="001C2C98">
        <w:rPr>
          <w:rFonts w:cs="Arial"/>
          <w:szCs w:val="22"/>
        </w:rPr>
        <w:t xml:space="preserve"> </w:t>
      </w:r>
      <w:r w:rsidR="0071040C" w:rsidRPr="006E662C">
        <w:rPr>
          <w:rFonts w:cs="Arial"/>
          <w:szCs w:val="22"/>
          <w:lang w:val="es-ES_tradnl"/>
        </w:rPr>
        <w:t xml:space="preserve">formalizados en Acta Circunstanciada, en la que se hizo constar la entrega de los </w:t>
      </w:r>
      <w:r w:rsidR="0071040C" w:rsidRPr="006E662C">
        <w:rPr>
          <w:rFonts w:eastAsia="Arial Unicode MS" w:cs="Arial"/>
          <w:szCs w:val="22"/>
          <w:lang w:eastAsia="es-MX"/>
        </w:rPr>
        <w:t xml:space="preserve">oficios números </w:t>
      </w:r>
      <w:r w:rsidR="006E662C" w:rsidRPr="00CA1E3F">
        <w:rPr>
          <w:rFonts w:cs="Arial"/>
          <w:b/>
          <w:szCs w:val="22"/>
        </w:rPr>
        <w:t>107/2022</w:t>
      </w:r>
      <w:r w:rsidR="006E662C" w:rsidRPr="00CA1E3F">
        <w:rPr>
          <w:rFonts w:cs="Arial"/>
          <w:szCs w:val="22"/>
        </w:rPr>
        <w:t xml:space="preserve">, de fecha 29 veintinueve de </w:t>
      </w:r>
      <w:r w:rsidR="006E662C">
        <w:rPr>
          <w:rFonts w:cs="Arial"/>
          <w:szCs w:val="22"/>
        </w:rPr>
        <w:t>noviembre</w:t>
      </w:r>
      <w:r w:rsidR="006E662C" w:rsidRPr="00595690">
        <w:rPr>
          <w:rFonts w:cs="Arial"/>
          <w:szCs w:val="22"/>
        </w:rPr>
        <w:t xml:space="preserve"> de 2022 dos mil veintidós</w:t>
      </w:r>
      <w:r w:rsidR="006E662C">
        <w:rPr>
          <w:rFonts w:cs="Arial"/>
          <w:szCs w:val="22"/>
        </w:rPr>
        <w:t xml:space="preserve"> y número </w:t>
      </w:r>
      <w:r w:rsidR="006E662C" w:rsidRPr="00CA1E3F">
        <w:rPr>
          <w:rFonts w:cs="Arial"/>
          <w:b/>
          <w:bCs/>
          <w:szCs w:val="22"/>
        </w:rPr>
        <w:t>21/22</w:t>
      </w:r>
      <w:r w:rsidR="006E662C">
        <w:rPr>
          <w:rFonts w:cs="Arial"/>
          <w:szCs w:val="22"/>
        </w:rPr>
        <w:t xml:space="preserve"> sin fecha,</w:t>
      </w:r>
      <w:r w:rsidR="0071040C">
        <w:rPr>
          <w:szCs w:val="22"/>
        </w:rPr>
        <w:t xml:space="preserve"> </w:t>
      </w:r>
      <w:r w:rsidRPr="001954FE">
        <w:rPr>
          <w:rFonts w:cs="Arial"/>
          <w:szCs w:val="22"/>
        </w:rPr>
        <w:t>en los que la Entidad Fiscalizada presentó las justificaciones y aclaraciones que estimó necesarias, por lo que</w:t>
      </w:r>
      <w:r w:rsidRPr="001954FE">
        <w:rPr>
          <w:rFonts w:cs="Arial"/>
          <w:color w:val="00000A"/>
          <w:szCs w:val="22"/>
        </w:rPr>
        <w:t xml:space="preserve"> l</w:t>
      </w:r>
      <w:r w:rsidRPr="001954FE">
        <w:rPr>
          <w:rFonts w:cs="Arial"/>
          <w:szCs w:val="22"/>
        </w:rPr>
        <w:t xml:space="preserve">os resultados, observaciones, acciones y recomendaciones contenidas en el </w:t>
      </w:r>
      <w:r w:rsidRPr="001954FE">
        <w:rPr>
          <w:rFonts w:cs="Arial"/>
          <w:szCs w:val="22"/>
        </w:rPr>
        <w:lastRenderedPageBreak/>
        <w:t>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5D29B58" w14:textId="77777777" w:rsidR="00C73699" w:rsidRPr="00665331" w:rsidRDefault="00C73699" w:rsidP="00C73699">
      <w:pPr>
        <w:rPr>
          <w:rFonts w:cs="Arial"/>
          <w:color w:val="000000"/>
          <w:szCs w:val="22"/>
          <w:lang w:eastAsia="en-US"/>
        </w:rPr>
      </w:pPr>
    </w:p>
    <w:p w14:paraId="5B9E6ED6" w14:textId="77777777" w:rsidR="00C73699"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80EE8D9" w14:textId="77777777" w:rsidR="00C73699" w:rsidRDefault="00C73699" w:rsidP="00C73699">
      <w:pPr>
        <w:rPr>
          <w:rFonts w:cs="Arial"/>
          <w:color w:val="00000A"/>
          <w:szCs w:val="22"/>
        </w:rPr>
      </w:pPr>
    </w:p>
    <w:p w14:paraId="1F07B642" w14:textId="77777777" w:rsidR="00C73699" w:rsidRPr="005C3EED" w:rsidRDefault="00C73699" w:rsidP="00C73699">
      <w:pPr>
        <w:rPr>
          <w:rFonts w:cs="Arial"/>
          <w:bCs/>
          <w:szCs w:val="22"/>
        </w:rPr>
      </w:pPr>
      <w:bookmarkStart w:id="3" w:name="_Hlk52970898"/>
      <w:r w:rsidRPr="00B7253C">
        <w:rPr>
          <w:rFonts w:cs="Arial"/>
          <w:b/>
          <w:szCs w:val="22"/>
        </w:rPr>
        <w:t xml:space="preserve">1. </w:t>
      </w:r>
      <w:r w:rsidRPr="00B7253C">
        <w:rPr>
          <w:rFonts w:cs="Arial"/>
          <w:b/>
          <w:szCs w:val="22"/>
        </w:rPr>
        <w:tab/>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de 2021, se conoció lo siguiente:</w:t>
      </w:r>
    </w:p>
    <w:p w14:paraId="05E7CB43" w14:textId="77777777" w:rsidR="00C73699" w:rsidRPr="005C3EED" w:rsidRDefault="00C73699" w:rsidP="00C73699">
      <w:pPr>
        <w:rPr>
          <w:rFonts w:cs="Arial"/>
          <w:b/>
          <w:szCs w:val="22"/>
        </w:rPr>
      </w:pPr>
    </w:p>
    <w:p w14:paraId="286D6F2E" w14:textId="77777777" w:rsidR="00C73699" w:rsidRPr="005C3EED" w:rsidRDefault="00C73699" w:rsidP="00C73699">
      <w:pPr>
        <w:rPr>
          <w:rFonts w:cs="Arial"/>
          <w:color w:val="00000A"/>
          <w:szCs w:val="22"/>
        </w:rPr>
      </w:pPr>
      <w:r w:rsidRPr="00544056">
        <w:rPr>
          <w:rFonts w:cs="Arial"/>
          <w:b/>
          <w:szCs w:val="22"/>
        </w:rPr>
        <w:t xml:space="preserve">1.1. Observación Preliminar número </w:t>
      </w:r>
      <w:r w:rsidRPr="00544056">
        <w:rPr>
          <w:rFonts w:cs="Arial"/>
          <w:b/>
          <w:bCs/>
          <w:szCs w:val="22"/>
        </w:rPr>
        <w:t>01</w:t>
      </w:r>
    </w:p>
    <w:p w14:paraId="094F0723" w14:textId="77777777" w:rsidR="00C73699" w:rsidRPr="002A296A" w:rsidRDefault="00C73699" w:rsidP="00C73699">
      <w:pPr>
        <w:pStyle w:val="Prrafodelista"/>
        <w:ind w:left="567"/>
        <w:jc w:val="right"/>
        <w:rPr>
          <w:rFonts w:ascii="Arial" w:hAnsi="Arial" w:cs="Arial"/>
          <w:iCs/>
          <w:szCs w:val="22"/>
          <w:lang w:eastAsia="es-MX"/>
        </w:rPr>
      </w:pPr>
    </w:p>
    <w:bookmarkEnd w:id="3"/>
    <w:p w14:paraId="111FB8FC" w14:textId="284E129F" w:rsidR="002A296A" w:rsidRDefault="00E11216" w:rsidP="00C73699">
      <w:pPr>
        <w:shd w:val="clear" w:color="auto" w:fill="FFFFFF"/>
        <w:autoSpaceDE w:val="0"/>
        <w:autoSpaceDN w:val="0"/>
        <w:adjustRightInd w:val="0"/>
        <w:rPr>
          <w:rFonts w:cs="Arial"/>
          <w:color w:val="000000"/>
        </w:rPr>
      </w:pPr>
      <w:r w:rsidRPr="00D718FC">
        <w:rPr>
          <w:rFonts w:cs="Arial"/>
          <w:color w:val="000000"/>
        </w:rPr>
        <w:t xml:space="preserve">De la revisión y análisis a la información y documentación proporcionada por </w:t>
      </w:r>
      <w:r w:rsidR="006E662C">
        <w:rPr>
          <w:rFonts w:cs="Arial"/>
          <w:color w:val="000000"/>
        </w:rPr>
        <w:t>la Entidad Fiscalizada</w:t>
      </w:r>
      <w:r w:rsidRPr="00D718FC">
        <w:rPr>
          <w:rFonts w:cs="Arial"/>
          <w:color w:val="000000"/>
        </w:rPr>
        <w:t>, se constató, que el Estado de Situación Financiera en el rubro de Bienes Muebles, Inmuebles e Intangibles, presenta una diferencia con la relación de Bienes Muebles, Inmuebles e Intangibles, por la cantidad de 10</w:t>
      </w:r>
      <w:r>
        <w:rPr>
          <w:rFonts w:cs="Arial"/>
          <w:color w:val="000000"/>
        </w:rPr>
        <w:t xml:space="preserve"> millones </w:t>
      </w:r>
      <w:r w:rsidRPr="00D718FC">
        <w:rPr>
          <w:rFonts w:cs="Arial"/>
          <w:color w:val="000000"/>
        </w:rPr>
        <w:t>405</w:t>
      </w:r>
      <w:r>
        <w:rPr>
          <w:rFonts w:cs="Arial"/>
          <w:color w:val="000000"/>
        </w:rPr>
        <w:t xml:space="preserve"> mil </w:t>
      </w:r>
      <w:r w:rsidRPr="00D718FC">
        <w:rPr>
          <w:rFonts w:cs="Arial"/>
          <w:color w:val="000000"/>
        </w:rPr>
        <w:t>46</w:t>
      </w:r>
      <w:r>
        <w:rPr>
          <w:rFonts w:cs="Arial"/>
          <w:color w:val="000000"/>
        </w:rPr>
        <w:t>1 pesos.</w:t>
      </w:r>
      <w:r w:rsidRPr="00D718FC">
        <w:rPr>
          <w:rFonts w:cs="Arial"/>
          <w:color w:val="000000"/>
        </w:rPr>
        <w:t xml:space="preserve"> </w:t>
      </w:r>
    </w:p>
    <w:p w14:paraId="5C9DA82D" w14:textId="77777777" w:rsidR="00E11216" w:rsidRPr="005C3EED" w:rsidRDefault="00E11216" w:rsidP="00C73699">
      <w:pPr>
        <w:shd w:val="clear" w:color="auto" w:fill="FFFFFF"/>
        <w:autoSpaceDE w:val="0"/>
        <w:autoSpaceDN w:val="0"/>
        <w:adjustRightInd w:val="0"/>
        <w:rPr>
          <w:rFonts w:eastAsia="Arial" w:cs="Arial"/>
          <w:spacing w:val="1"/>
          <w:szCs w:val="22"/>
        </w:rPr>
      </w:pPr>
    </w:p>
    <w:p w14:paraId="13362F2C" w14:textId="0290B227" w:rsidR="00C73699" w:rsidRPr="005C3EED" w:rsidRDefault="006E662C" w:rsidP="00C73699">
      <w:pPr>
        <w:rPr>
          <w:rFonts w:cs="Arial"/>
          <w:b/>
          <w:color w:val="00000A"/>
          <w:szCs w:val="22"/>
        </w:rPr>
      </w:pPr>
      <w:r>
        <w:rPr>
          <w:rFonts w:cs="Arial"/>
          <w:b/>
          <w:szCs w:val="22"/>
        </w:rPr>
        <w:t>Disposiciones Jurídicas Incumplidas.</w:t>
      </w:r>
    </w:p>
    <w:p w14:paraId="20BC6D99" w14:textId="77777777" w:rsidR="00C73699" w:rsidRPr="005C3EED" w:rsidRDefault="00C73699" w:rsidP="00C73699">
      <w:pPr>
        <w:rPr>
          <w:rFonts w:cs="Arial"/>
          <w:color w:val="00000A"/>
          <w:szCs w:val="22"/>
        </w:rPr>
      </w:pPr>
    </w:p>
    <w:p w14:paraId="433F3A99" w14:textId="48A4E664" w:rsidR="002A296A" w:rsidRPr="002A296A" w:rsidRDefault="00E11216" w:rsidP="002A296A">
      <w:pPr>
        <w:shd w:val="clear" w:color="auto" w:fill="FFFFFF"/>
        <w:autoSpaceDE w:val="0"/>
        <w:autoSpaceDN w:val="0"/>
        <w:adjustRightInd w:val="0"/>
        <w:rPr>
          <w:rFonts w:cs="Arial"/>
          <w:bCs/>
          <w:szCs w:val="22"/>
          <w:lang w:val="es-ES_tradnl"/>
        </w:rPr>
      </w:pPr>
      <w:r w:rsidRPr="00E11216">
        <w:rPr>
          <w:rFonts w:eastAsia="Arial" w:cs="Arial"/>
          <w:spacing w:val="1"/>
          <w:szCs w:val="22"/>
        </w:rPr>
        <w:t>Artículos 23, 24 y 27 de la Ley General de Contabilidad Gubernamental</w:t>
      </w:r>
      <w:r w:rsidR="002A296A" w:rsidRPr="002A296A">
        <w:rPr>
          <w:rStyle w:val="markedcontent"/>
          <w:rFonts w:cs="Arial"/>
          <w:szCs w:val="22"/>
        </w:rPr>
        <w:t>.</w:t>
      </w:r>
    </w:p>
    <w:p w14:paraId="51205033" w14:textId="77777777" w:rsidR="002A296A" w:rsidRPr="00E11216" w:rsidRDefault="002A296A" w:rsidP="00C73699">
      <w:pPr>
        <w:rPr>
          <w:rFonts w:cs="Arial"/>
          <w:szCs w:val="22"/>
        </w:rPr>
      </w:pPr>
    </w:p>
    <w:p w14:paraId="37331E6D" w14:textId="600D9818" w:rsidR="00632C68" w:rsidRPr="00E11216" w:rsidRDefault="00E11216" w:rsidP="00C73699">
      <w:pPr>
        <w:tabs>
          <w:tab w:val="left" w:pos="10022"/>
        </w:tabs>
        <w:rPr>
          <w:rFonts w:eastAsia="Arial Unicode MS" w:cs="Arial"/>
          <w:i/>
          <w:szCs w:val="22"/>
          <w:lang w:eastAsia="es-MX"/>
        </w:rPr>
      </w:pPr>
      <w:r w:rsidRPr="00E11216">
        <w:rPr>
          <w:rFonts w:eastAsia="Arial Unicode MS" w:cs="Arial"/>
          <w:szCs w:val="22"/>
          <w:lang w:eastAsia="es-MX"/>
        </w:rPr>
        <w:t xml:space="preserve">Mediante Oficio número 107/2022 de fecha 29 de noviembre de 2022, </w:t>
      </w:r>
      <w:r w:rsidR="006E662C">
        <w:rPr>
          <w:rFonts w:eastAsia="Arial Unicode MS" w:cs="Arial"/>
          <w:szCs w:val="22"/>
          <w:lang w:eastAsia="es-MX"/>
        </w:rPr>
        <w:t>la Entidad Fiscalizada</w:t>
      </w:r>
      <w:r w:rsidRPr="00E11216">
        <w:rPr>
          <w:rFonts w:eastAsia="Arial Unicode MS" w:cs="Arial"/>
          <w:szCs w:val="22"/>
          <w:lang w:eastAsia="es-MX"/>
        </w:rPr>
        <w:t>, pr</w:t>
      </w:r>
      <w:r>
        <w:rPr>
          <w:rFonts w:eastAsia="Arial Unicode MS" w:cs="Arial"/>
          <w:szCs w:val="22"/>
          <w:lang w:eastAsia="es-MX"/>
        </w:rPr>
        <w:t>oporciono</w:t>
      </w:r>
      <w:r w:rsidRPr="00E11216">
        <w:rPr>
          <w:rFonts w:eastAsia="Arial Unicode MS" w:cs="Arial"/>
          <w:iCs/>
          <w:szCs w:val="22"/>
          <w:lang w:eastAsia="es-MX"/>
        </w:rPr>
        <w:t xml:space="preserve"> oficio número 21/22 firmado por la Síndico Municipal</w:t>
      </w:r>
      <w:r w:rsidR="005A08CB">
        <w:rPr>
          <w:rFonts w:eastAsia="Arial Unicode MS" w:cs="Arial"/>
          <w:szCs w:val="22"/>
          <w:lang w:eastAsia="es-MX"/>
        </w:rPr>
        <w:t>.</w:t>
      </w:r>
    </w:p>
    <w:p w14:paraId="4C5D4D1F" w14:textId="77777777" w:rsidR="00E11216" w:rsidRDefault="00E11216" w:rsidP="00C73699">
      <w:pPr>
        <w:tabs>
          <w:tab w:val="left" w:pos="10022"/>
        </w:tabs>
        <w:rPr>
          <w:rFonts w:cs="Arial"/>
          <w:color w:val="000000"/>
          <w:szCs w:val="22"/>
        </w:rPr>
      </w:pPr>
    </w:p>
    <w:p w14:paraId="6C9E7A08" w14:textId="23ED1986" w:rsidR="005A08CB" w:rsidRPr="00F81B50" w:rsidRDefault="005A08CB" w:rsidP="005A08CB">
      <w:pPr>
        <w:tabs>
          <w:tab w:val="left" w:pos="10022"/>
        </w:tabs>
        <w:rPr>
          <w:rFonts w:cs="Arial"/>
          <w:b/>
          <w:bCs/>
          <w:color w:val="000000"/>
          <w:szCs w:val="22"/>
        </w:rPr>
      </w:pPr>
      <w:r w:rsidRPr="00F81B50">
        <w:rPr>
          <w:rFonts w:cs="Arial"/>
          <w:color w:val="000000"/>
          <w:szCs w:val="22"/>
        </w:rPr>
        <w:t xml:space="preserve">Los elementos proporcionados y las manifestaciones señaladas con anterioridad no justificaron la inconsistencia que guarda relación con el hecho observado, por lo que </w:t>
      </w:r>
      <w:r w:rsidRPr="00F93B2F">
        <w:rPr>
          <w:rFonts w:cs="Arial"/>
          <w:bCs/>
          <w:color w:val="000000"/>
          <w:szCs w:val="22"/>
        </w:rPr>
        <w:t>se</w:t>
      </w:r>
      <w:r w:rsidRPr="00F81B50">
        <w:rPr>
          <w:rFonts w:cs="Arial"/>
          <w:b/>
          <w:bCs/>
          <w:color w:val="000000"/>
          <w:szCs w:val="22"/>
        </w:rPr>
        <w:t xml:space="preserve"> ratifica</w:t>
      </w:r>
      <w:r w:rsidRPr="00F81B50">
        <w:rPr>
          <w:rFonts w:cs="Arial"/>
          <w:color w:val="000000"/>
          <w:szCs w:val="22"/>
        </w:rPr>
        <w:t xml:space="preserve"> </w:t>
      </w:r>
      <w:r w:rsidRPr="00F81B50">
        <w:rPr>
          <w:rFonts w:cs="Arial"/>
          <w:b/>
          <w:bCs/>
          <w:color w:val="000000"/>
          <w:szCs w:val="22"/>
        </w:rPr>
        <w:t>la Observación Preliminar número</w:t>
      </w:r>
      <w:r w:rsidRPr="00F81B50">
        <w:rPr>
          <w:rFonts w:cs="Arial"/>
          <w:color w:val="000000"/>
          <w:szCs w:val="22"/>
        </w:rPr>
        <w:t xml:space="preserve"> </w:t>
      </w:r>
      <w:r>
        <w:rPr>
          <w:rFonts w:cs="Arial"/>
          <w:b/>
          <w:bCs/>
          <w:color w:val="000000"/>
          <w:szCs w:val="22"/>
        </w:rPr>
        <w:t>01</w:t>
      </w:r>
      <w:r w:rsidRPr="00F81B50">
        <w:rPr>
          <w:rFonts w:cs="Arial"/>
          <w:b/>
          <w:bCs/>
          <w:color w:val="000000"/>
          <w:szCs w:val="22"/>
        </w:rPr>
        <w:t>.</w:t>
      </w:r>
    </w:p>
    <w:p w14:paraId="16BC7108" w14:textId="77777777" w:rsidR="005A08CB" w:rsidRPr="00F81B50" w:rsidRDefault="005A08CB" w:rsidP="005A08CB">
      <w:pPr>
        <w:tabs>
          <w:tab w:val="left" w:pos="10022"/>
        </w:tabs>
        <w:rPr>
          <w:rFonts w:cs="Arial"/>
          <w:b/>
          <w:bCs/>
          <w:color w:val="000000"/>
          <w:szCs w:val="22"/>
        </w:rPr>
      </w:pPr>
    </w:p>
    <w:p w14:paraId="5648F794" w14:textId="38FBED96" w:rsidR="005A08CB" w:rsidRDefault="005A08CB" w:rsidP="005A08CB">
      <w:pPr>
        <w:rPr>
          <w:rFonts w:cs="Arial"/>
          <w:color w:val="00000A"/>
          <w:szCs w:val="22"/>
        </w:rPr>
      </w:pPr>
      <w:r w:rsidRPr="00F81B50">
        <w:rPr>
          <w:rFonts w:cs="Arial"/>
          <w:color w:val="00000A"/>
          <w:szCs w:val="22"/>
        </w:rPr>
        <w:t>Derivado de lo anterior, conforme a las pruebas ofertadas se determinó elaborar el Informe de Presuntas Irregularidades número</w:t>
      </w:r>
      <w:r w:rsidRPr="005A08CB">
        <w:rPr>
          <w:rFonts w:cs="Arial"/>
          <w:color w:val="00000A"/>
          <w:szCs w:val="22"/>
        </w:rPr>
        <w:t xml:space="preserve"> </w:t>
      </w:r>
      <w:r w:rsidRPr="005A08CB">
        <w:rPr>
          <w:rFonts w:cs="Arial"/>
          <w:b/>
          <w:szCs w:val="22"/>
        </w:rPr>
        <w:t>ASM/AEFM/DGFM/CP2021/AF/M091/218/IPI-01</w:t>
      </w:r>
      <w:r w:rsidRPr="00F81B50">
        <w:rPr>
          <w:rFonts w:cs="Arial"/>
          <w:color w:val="00000A"/>
          <w:szCs w:val="22"/>
        </w:rPr>
        <w:t>, el cual será turnado a la Autoridad Investigadora de este Órgano Técnico, para su trámite correspondiente.</w:t>
      </w:r>
    </w:p>
    <w:p w14:paraId="0535BC99" w14:textId="77777777" w:rsidR="00C73699" w:rsidRPr="005C3EED" w:rsidRDefault="00C73699" w:rsidP="00C73699">
      <w:pPr>
        <w:tabs>
          <w:tab w:val="left" w:pos="10022"/>
        </w:tabs>
        <w:rPr>
          <w:rFonts w:cs="Arial"/>
          <w:b/>
          <w:bCs/>
          <w:color w:val="000000"/>
          <w:szCs w:val="22"/>
        </w:rPr>
      </w:pPr>
    </w:p>
    <w:p w14:paraId="3E159B9B" w14:textId="40C8D522" w:rsidR="00DE5602" w:rsidRPr="004403DF" w:rsidRDefault="006E662C" w:rsidP="00DE5602">
      <w:pPr>
        <w:rPr>
          <w:rFonts w:cs="Arial"/>
          <w:bCs/>
          <w:szCs w:val="22"/>
        </w:rPr>
      </w:pPr>
      <w:r>
        <w:rPr>
          <w:rFonts w:cs="Arial"/>
          <w:b/>
          <w:bCs/>
          <w:szCs w:val="22"/>
        </w:rPr>
        <w:t>1</w:t>
      </w:r>
      <w:r w:rsidR="00DE5602" w:rsidRPr="00EB5930">
        <w:rPr>
          <w:rFonts w:cs="Arial"/>
          <w:b/>
          <w:bCs/>
          <w:szCs w:val="22"/>
        </w:rPr>
        <w:t>.</w:t>
      </w:r>
      <w:r w:rsidR="00DE5602">
        <w:rPr>
          <w:rFonts w:cs="Arial"/>
          <w:b/>
          <w:bCs/>
          <w:szCs w:val="22"/>
        </w:rPr>
        <w:t>2</w:t>
      </w:r>
      <w:r w:rsidR="00DE5602" w:rsidRPr="00EB5930">
        <w:rPr>
          <w:rFonts w:cs="Arial"/>
          <w:b/>
          <w:bCs/>
          <w:szCs w:val="22"/>
        </w:rPr>
        <w:t>.</w:t>
      </w:r>
      <w:r w:rsidR="00DE5602" w:rsidRPr="00EF387B">
        <w:rPr>
          <w:rFonts w:cs="Arial"/>
          <w:szCs w:val="22"/>
        </w:rPr>
        <w:t xml:space="preserve"> </w:t>
      </w:r>
      <w:r w:rsidR="00F72F1B">
        <w:rPr>
          <w:rFonts w:cs="Arial"/>
          <w:szCs w:val="22"/>
        </w:rPr>
        <w:t>Se c</w:t>
      </w:r>
      <w:r w:rsidR="00DE5602" w:rsidRPr="00E469A9">
        <w:rPr>
          <w:rFonts w:cs="Arial"/>
          <w:szCs w:val="22"/>
        </w:rPr>
        <w:t>onstat</w:t>
      </w:r>
      <w:r w:rsidR="00F72F1B">
        <w:rPr>
          <w:rFonts w:cs="Arial"/>
          <w:szCs w:val="22"/>
        </w:rPr>
        <w:t>ó</w:t>
      </w:r>
      <w:r w:rsidR="00DE5602" w:rsidRPr="00E469A9">
        <w:rPr>
          <w:rFonts w:cs="Arial"/>
          <w:szCs w:val="22"/>
        </w:rPr>
        <w:t xml:space="preserve"> que se efectuó el registro de las Depreciaciones y Amortizaciones de los bienes muebles e inmuebles, correspondientes al ejercicio sujeto a </w:t>
      </w:r>
      <w:r w:rsidR="00DE5602" w:rsidRPr="00EF387B">
        <w:rPr>
          <w:rFonts w:cs="Arial"/>
          <w:szCs w:val="22"/>
        </w:rPr>
        <w:t>revisión</w:t>
      </w:r>
      <w:r w:rsidR="00F72F1B">
        <w:rPr>
          <w:rFonts w:cs="Arial"/>
          <w:bCs/>
          <w:szCs w:val="22"/>
        </w:rPr>
        <w:t>,</w:t>
      </w:r>
      <w:r w:rsidR="00F72F1B">
        <w:rPr>
          <w:szCs w:val="22"/>
        </w:rPr>
        <w:t xml:space="preserve"> por lo que no se detectaron irregularidades que presuman la existencia de conductas, actos, hechos u omisiones; en consecuencia, no se generaron observaciones preliminares</w:t>
      </w:r>
      <w:r w:rsidR="00F72F1B">
        <w:rPr>
          <w:rFonts w:cs="Arial"/>
          <w:szCs w:val="22"/>
        </w:rPr>
        <w:t>.</w:t>
      </w:r>
    </w:p>
    <w:p w14:paraId="5DFF5F2D" w14:textId="77777777" w:rsidR="00DE5602" w:rsidRDefault="00DE5602" w:rsidP="00DE5602">
      <w:pPr>
        <w:rPr>
          <w:rFonts w:cs="Arial"/>
          <w:bCs/>
          <w:szCs w:val="22"/>
        </w:rPr>
      </w:pPr>
    </w:p>
    <w:p w14:paraId="28A90E26" w14:textId="77777777" w:rsidR="006E662C" w:rsidRDefault="006E662C" w:rsidP="00DE5602">
      <w:pPr>
        <w:rPr>
          <w:rFonts w:cs="Arial"/>
          <w:b/>
          <w:szCs w:val="22"/>
        </w:rPr>
      </w:pPr>
    </w:p>
    <w:p w14:paraId="5A26C735" w14:textId="77777777" w:rsidR="006E662C" w:rsidRDefault="006E662C" w:rsidP="00DE5602">
      <w:pPr>
        <w:rPr>
          <w:rFonts w:cs="Arial"/>
          <w:b/>
          <w:szCs w:val="22"/>
        </w:rPr>
      </w:pPr>
    </w:p>
    <w:p w14:paraId="4CBE7857" w14:textId="160DFEC9" w:rsidR="00DE5602" w:rsidRPr="006E662C" w:rsidRDefault="006E662C" w:rsidP="00DE5602">
      <w:pPr>
        <w:rPr>
          <w:rFonts w:cs="Arial"/>
          <w:b/>
          <w:szCs w:val="22"/>
        </w:rPr>
      </w:pPr>
      <w:r>
        <w:rPr>
          <w:rFonts w:cs="Arial"/>
          <w:b/>
          <w:szCs w:val="22"/>
        </w:rPr>
        <w:t>1.3</w:t>
      </w:r>
      <w:r w:rsidR="00DE5602" w:rsidRPr="00EF387B">
        <w:rPr>
          <w:rFonts w:cs="Arial"/>
          <w:szCs w:val="22"/>
        </w:rPr>
        <w:t xml:space="preserve"> </w:t>
      </w:r>
      <w:r w:rsidR="00DE5602">
        <w:rPr>
          <w:rFonts w:cs="Arial"/>
          <w:szCs w:val="22"/>
        </w:rPr>
        <w:t>Se v</w:t>
      </w:r>
      <w:r w:rsidR="00DE5602" w:rsidRPr="008D005E">
        <w:rPr>
          <w:rFonts w:cs="Arial"/>
          <w:szCs w:val="22"/>
        </w:rPr>
        <w:t>erific</w:t>
      </w:r>
      <w:r w:rsidR="00DE5602">
        <w:rPr>
          <w:rFonts w:cs="Arial"/>
          <w:szCs w:val="22"/>
        </w:rPr>
        <w:t>ó</w:t>
      </w:r>
      <w:r w:rsidR="00DE5602" w:rsidRPr="008D005E">
        <w:rPr>
          <w:rFonts w:cs="Arial"/>
          <w:szCs w:val="22"/>
        </w:rPr>
        <w:t xml:space="preserve"> que la Entidad </w:t>
      </w:r>
      <w:r>
        <w:rPr>
          <w:rFonts w:cs="Arial"/>
          <w:szCs w:val="22"/>
        </w:rPr>
        <w:t xml:space="preserve">Fiscalizada </w:t>
      </w:r>
      <w:r w:rsidR="00DE5602" w:rsidRPr="008D005E">
        <w:rPr>
          <w:rFonts w:cs="Arial"/>
          <w:szCs w:val="22"/>
        </w:rPr>
        <w:t>cumpl</w:t>
      </w:r>
      <w:r>
        <w:rPr>
          <w:rFonts w:cs="Arial"/>
          <w:szCs w:val="22"/>
        </w:rPr>
        <w:t>ió</w:t>
      </w:r>
      <w:r w:rsidR="00DE5602" w:rsidRPr="008D005E">
        <w:rPr>
          <w:rFonts w:cs="Arial"/>
          <w:szCs w:val="22"/>
        </w:rPr>
        <w:t xml:space="preserve"> con el principio de sostenibilidad presupuestal</w:t>
      </w:r>
      <w:r w:rsidR="00DE5602">
        <w:rPr>
          <w:rFonts w:cs="Arial"/>
          <w:bCs/>
          <w:szCs w:val="22"/>
        </w:rPr>
        <w:t>,</w:t>
      </w:r>
      <w:r w:rsidR="00DE5602">
        <w:rPr>
          <w:szCs w:val="22"/>
        </w:rPr>
        <w:t xml:space="preserve"> por lo que no se detectaron irregularidades que presuman la existencia de conductas, actos, hechos u omisiones; en consecuencia, no se generaron observaciones preliminares</w:t>
      </w:r>
      <w:r w:rsidR="00DE5602">
        <w:rPr>
          <w:rFonts w:cs="Arial"/>
          <w:szCs w:val="22"/>
        </w:rPr>
        <w:t>.</w:t>
      </w:r>
    </w:p>
    <w:p w14:paraId="421B912D" w14:textId="77777777" w:rsidR="00DE5602" w:rsidRDefault="00DE5602" w:rsidP="00DE5602">
      <w:pPr>
        <w:rPr>
          <w:rFonts w:cs="Arial"/>
          <w:szCs w:val="22"/>
        </w:rPr>
      </w:pPr>
    </w:p>
    <w:p w14:paraId="369D4796" w14:textId="6A2D3187" w:rsidR="00DE5602" w:rsidRDefault="006E662C" w:rsidP="00DE5602">
      <w:pPr>
        <w:rPr>
          <w:rFonts w:cs="Arial"/>
          <w:szCs w:val="22"/>
        </w:rPr>
      </w:pPr>
      <w:r>
        <w:rPr>
          <w:rFonts w:cs="Arial"/>
          <w:b/>
          <w:bCs/>
          <w:szCs w:val="22"/>
        </w:rPr>
        <w:t>1.4</w:t>
      </w:r>
      <w:r w:rsidR="00DE5602" w:rsidRPr="00EF387B">
        <w:rPr>
          <w:rFonts w:cs="Arial"/>
          <w:szCs w:val="22"/>
        </w:rPr>
        <w:t xml:space="preserve"> </w:t>
      </w:r>
      <w:r w:rsidR="00DE5602">
        <w:rPr>
          <w:rFonts w:cs="Arial"/>
          <w:szCs w:val="22"/>
        </w:rPr>
        <w:t>Se c</w:t>
      </w:r>
      <w:r w:rsidR="00DE5602" w:rsidRPr="008D005E">
        <w:rPr>
          <w:rFonts w:cs="Arial"/>
          <w:szCs w:val="22"/>
        </w:rPr>
        <w:t>onfirm</w:t>
      </w:r>
      <w:r w:rsidR="00DE5602">
        <w:rPr>
          <w:rFonts w:cs="Arial"/>
          <w:szCs w:val="22"/>
        </w:rPr>
        <w:t>ó</w:t>
      </w:r>
      <w:r w:rsidR="00DE5602"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sidR="00DE5602">
        <w:rPr>
          <w:rFonts w:cs="Arial"/>
          <w:bCs/>
          <w:szCs w:val="22"/>
        </w:rPr>
        <w:t>,</w:t>
      </w:r>
      <w:r w:rsidR="00DE5602">
        <w:rPr>
          <w:szCs w:val="22"/>
        </w:rPr>
        <w:t xml:space="preserve"> por lo que no se detectaron irregularidades que presuman la existencia de conductas, actos, hechos u omisiones; en consecuencia, no se generaron observaciones preliminares</w:t>
      </w:r>
      <w:r w:rsidR="00DE5602">
        <w:rPr>
          <w:rFonts w:cs="Arial"/>
          <w:szCs w:val="22"/>
        </w:rPr>
        <w:t>.</w:t>
      </w:r>
    </w:p>
    <w:p w14:paraId="4AD00FF8" w14:textId="77777777" w:rsidR="00DE5602" w:rsidRDefault="00DE5602" w:rsidP="00DE5602">
      <w:pPr>
        <w:rPr>
          <w:rFonts w:cs="Arial"/>
          <w:szCs w:val="22"/>
        </w:rPr>
      </w:pPr>
    </w:p>
    <w:p w14:paraId="0FAB06B2" w14:textId="5735F18A" w:rsidR="00DE5602" w:rsidRDefault="006E662C" w:rsidP="00DE5602">
      <w:pPr>
        <w:rPr>
          <w:rFonts w:cs="Arial"/>
          <w:szCs w:val="22"/>
        </w:rPr>
      </w:pPr>
      <w:r>
        <w:rPr>
          <w:rFonts w:cs="Arial"/>
          <w:b/>
          <w:bCs/>
          <w:szCs w:val="22"/>
        </w:rPr>
        <w:t>1.5</w:t>
      </w:r>
      <w:r w:rsidR="00DE5602" w:rsidRPr="00EB5930">
        <w:rPr>
          <w:rFonts w:cs="Arial"/>
          <w:szCs w:val="22"/>
        </w:rPr>
        <w:t xml:space="preserve"> </w:t>
      </w:r>
      <w:r w:rsidR="00F72F1B">
        <w:rPr>
          <w:rFonts w:cs="Arial"/>
          <w:szCs w:val="22"/>
        </w:rPr>
        <w:t>Se i</w:t>
      </w:r>
      <w:r w:rsidR="00DE5602" w:rsidRPr="008D005E">
        <w:rPr>
          <w:rFonts w:cs="Arial"/>
          <w:szCs w:val="22"/>
        </w:rPr>
        <w:t>dentific</w:t>
      </w:r>
      <w:r w:rsidR="00F72F1B">
        <w:rPr>
          <w:rFonts w:cs="Arial"/>
          <w:szCs w:val="22"/>
        </w:rPr>
        <w:t>ó</w:t>
      </w:r>
      <w:r w:rsidR="00DE5602" w:rsidRPr="008D005E">
        <w:rPr>
          <w:rFonts w:cs="Arial"/>
          <w:szCs w:val="22"/>
        </w:rPr>
        <w:t xml:space="preserve">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servicios públicos previstos por la entidad fiscalizada</w:t>
      </w:r>
      <w:r w:rsidR="00F72F1B">
        <w:rPr>
          <w:rFonts w:cs="Arial"/>
          <w:bCs/>
          <w:szCs w:val="22"/>
        </w:rPr>
        <w:t>,</w:t>
      </w:r>
      <w:r w:rsidR="00F72F1B">
        <w:rPr>
          <w:szCs w:val="22"/>
        </w:rPr>
        <w:t xml:space="preserve"> por lo que no se detectaron irregularidades que presuman la existencia de conductas, actos, hechos u omisiones; en consecuencia, no se generaron observaciones preliminares</w:t>
      </w:r>
      <w:r w:rsidR="00DE5602">
        <w:rPr>
          <w:rFonts w:cs="Arial"/>
          <w:szCs w:val="22"/>
        </w:rPr>
        <w:t>.</w:t>
      </w:r>
    </w:p>
    <w:p w14:paraId="2F2C9F86" w14:textId="77777777" w:rsidR="00DE5602" w:rsidRDefault="00DE5602" w:rsidP="00DE5602">
      <w:pPr>
        <w:rPr>
          <w:rFonts w:cs="Arial"/>
          <w:szCs w:val="22"/>
        </w:rPr>
      </w:pPr>
    </w:p>
    <w:p w14:paraId="5D423B9B" w14:textId="3D4C8238" w:rsidR="00632C68" w:rsidRPr="005A08CB" w:rsidRDefault="006E662C" w:rsidP="005A08CB">
      <w:pPr>
        <w:rPr>
          <w:rFonts w:cs="Arial"/>
          <w:szCs w:val="22"/>
        </w:rPr>
      </w:pPr>
      <w:r>
        <w:rPr>
          <w:rFonts w:cs="Arial"/>
          <w:b/>
          <w:bCs/>
          <w:szCs w:val="22"/>
        </w:rPr>
        <w:t>1.6</w:t>
      </w:r>
      <w:r w:rsidR="00DE5602" w:rsidRPr="00EB5930">
        <w:rPr>
          <w:rFonts w:cs="Arial"/>
          <w:szCs w:val="22"/>
        </w:rPr>
        <w:t xml:space="preserve"> </w:t>
      </w:r>
      <w:r w:rsidR="00F72F1B">
        <w:rPr>
          <w:rFonts w:cs="Arial"/>
          <w:szCs w:val="22"/>
        </w:rPr>
        <w:t>Se i</w:t>
      </w:r>
      <w:r w:rsidR="00DE5602" w:rsidRPr="008D005E">
        <w:rPr>
          <w:rFonts w:cs="Arial"/>
          <w:szCs w:val="22"/>
        </w:rPr>
        <w:t>dentific</w:t>
      </w:r>
      <w:r w:rsidR="00F72F1B">
        <w:rPr>
          <w:rFonts w:cs="Arial"/>
          <w:szCs w:val="22"/>
        </w:rPr>
        <w:t>ó</w:t>
      </w:r>
      <w:r w:rsidR="00DE5602" w:rsidRPr="008D005E">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 por Obras Públicas a Corto Plazo y Otros Derechos a Recibir Bienes o Servicios a Corto Plazo, con la </w:t>
      </w:r>
      <w:r w:rsidR="00DE5602">
        <w:rPr>
          <w:rFonts w:cs="Arial"/>
          <w:szCs w:val="22"/>
        </w:rPr>
        <w:t>finalidad</w:t>
      </w:r>
      <w:r w:rsidR="00DE5602" w:rsidRPr="008D005E">
        <w:rPr>
          <w:rFonts w:cs="Arial"/>
          <w:szCs w:val="22"/>
        </w:rPr>
        <w:t xml:space="preserve"> de verificar que dichos anticipos se hayan otorgado para obtener bienes o servicios previstos por la entidad fiscalizada</w:t>
      </w:r>
      <w:r w:rsidR="00F72F1B">
        <w:rPr>
          <w:rFonts w:cs="Arial"/>
          <w:bCs/>
          <w:szCs w:val="22"/>
        </w:rPr>
        <w:t>,</w:t>
      </w:r>
      <w:r w:rsidR="00F72F1B">
        <w:rPr>
          <w:szCs w:val="22"/>
        </w:rPr>
        <w:t xml:space="preserve"> por lo que no se detectaron irregularidades que presuman la existencia de conductas, actos, hechos u omisiones; en consecuencia, no se generaron observaciones preliminares</w:t>
      </w:r>
      <w:r w:rsidR="00DE5602">
        <w:rPr>
          <w:rFonts w:cs="Arial"/>
          <w:szCs w:val="22"/>
        </w:rPr>
        <w:t>.</w:t>
      </w:r>
    </w:p>
    <w:p w14:paraId="3AD4A30C" w14:textId="77777777" w:rsidR="00031799" w:rsidRDefault="00031799" w:rsidP="00C73699">
      <w:pPr>
        <w:pStyle w:val="Ttulo1"/>
        <w:shd w:val="clear" w:color="auto" w:fill="auto"/>
        <w:jc w:val="both"/>
        <w:rPr>
          <w:rFonts w:eastAsiaTheme="minorHAnsi"/>
          <w:color w:val="auto"/>
        </w:rPr>
      </w:pPr>
    </w:p>
    <w:p w14:paraId="7F695BBF" w14:textId="04CD039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07F19A83" w14:textId="77777777" w:rsidR="00C73699" w:rsidRDefault="00C73699" w:rsidP="00C73699">
      <w:pPr>
        <w:spacing w:line="360" w:lineRule="auto"/>
        <w:rPr>
          <w:rFonts w:cs="Arial"/>
          <w:szCs w:val="22"/>
        </w:rPr>
      </w:pPr>
    </w:p>
    <w:p w14:paraId="5AC14B43" w14:textId="1117C4E6"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w:t>
      </w:r>
      <w:r w:rsidR="005A08CB">
        <w:rPr>
          <w:rFonts w:eastAsia="Arial Unicode MS" w:cs="Arial"/>
          <w:szCs w:val="22"/>
          <w:lang w:eastAsia="es-MX"/>
        </w:rPr>
        <w:t>oficio</w:t>
      </w:r>
      <w:r w:rsidR="00031799" w:rsidRPr="00632C68">
        <w:rPr>
          <w:rFonts w:eastAsia="Arial Unicode MS" w:cs="Arial"/>
          <w:szCs w:val="22"/>
          <w:lang w:eastAsia="es-MX"/>
        </w:rPr>
        <w:t xml:space="preserve"> número</w:t>
      </w:r>
      <w:r w:rsidR="005A08CB">
        <w:rPr>
          <w:rFonts w:eastAsia="Arial Unicode MS" w:cs="Arial"/>
          <w:szCs w:val="22"/>
          <w:lang w:eastAsia="es-MX"/>
        </w:rPr>
        <w:t xml:space="preserve"> </w:t>
      </w:r>
      <w:r w:rsidR="00FF2252" w:rsidRPr="00E11216">
        <w:rPr>
          <w:rFonts w:eastAsia="Arial Unicode MS" w:cs="Arial"/>
          <w:szCs w:val="22"/>
          <w:lang w:eastAsia="es-MX"/>
        </w:rPr>
        <w:t>107/2022</w:t>
      </w:r>
      <w:r w:rsidR="00FF2252">
        <w:rPr>
          <w:rFonts w:cs="Arial"/>
          <w:szCs w:val="22"/>
        </w:rPr>
        <w:t xml:space="preserve"> </w:t>
      </w:r>
      <w:r w:rsidR="00FF2252" w:rsidRPr="00FF2252">
        <w:rPr>
          <w:rFonts w:eastAsia="Arial Unicode MS" w:cs="Arial"/>
          <w:szCs w:val="22"/>
          <w:lang w:eastAsia="es-MX"/>
        </w:rPr>
        <w:t>de fecha 29 de noviembre de 2022</w:t>
      </w:r>
      <w:r w:rsidR="00FF2252">
        <w:rPr>
          <w:szCs w:val="22"/>
        </w:rPr>
        <w:t xml:space="preserve"> </w:t>
      </w:r>
      <w:r w:rsidR="00FF2252">
        <w:rPr>
          <w:rFonts w:cs="Arial"/>
          <w:szCs w:val="22"/>
        </w:rPr>
        <w:t>y</w:t>
      </w:r>
      <w:r w:rsidR="00FF2252" w:rsidRPr="00E11216">
        <w:rPr>
          <w:rFonts w:cs="Arial"/>
          <w:szCs w:val="22"/>
        </w:rPr>
        <w:t xml:space="preserve"> oficio 21</w:t>
      </w:r>
      <w:r w:rsidR="00FF2252" w:rsidRPr="00E11216">
        <w:rPr>
          <w:rFonts w:eastAsia="Arial Unicode MS" w:cs="Arial"/>
          <w:szCs w:val="22"/>
          <w:lang w:eastAsia="es-MX"/>
        </w:rPr>
        <w:t>/22, sin fecha</w:t>
      </w:r>
      <w:r w:rsidR="00031799" w:rsidRPr="00FF2252">
        <w:rPr>
          <w:rFonts w:cs="Arial"/>
          <w:szCs w:val="22"/>
        </w:rPr>
        <w:t>,</w:t>
      </w:r>
      <w:r w:rsidRPr="00D63B99">
        <w:rPr>
          <w:szCs w:val="22"/>
        </w:rPr>
        <w:t xml:space="preserv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w:t>
      </w:r>
      <w:r w:rsidRPr="00584767">
        <w:rPr>
          <w:rFonts w:cs="Arial"/>
          <w:szCs w:val="22"/>
        </w:rPr>
        <w:lastRenderedPageBreak/>
        <w:t>Auditoría Superior de Michoacán, las cuales se encuentran descritas en el apartado de Resultados de la Fiscalización Efectuada.</w:t>
      </w:r>
    </w:p>
    <w:p w14:paraId="4471219B" w14:textId="77777777" w:rsidR="00C73699" w:rsidRDefault="00C73699" w:rsidP="00C73699">
      <w:pPr>
        <w:spacing w:line="360" w:lineRule="auto"/>
        <w:rPr>
          <w:rFonts w:cs="Arial"/>
          <w:szCs w:val="22"/>
        </w:rPr>
      </w:pPr>
    </w:p>
    <w:p w14:paraId="43231019"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2D724A" w14:textId="77777777" w:rsidR="00C73699" w:rsidRDefault="00C73699" w:rsidP="00C73699">
      <w:pPr>
        <w:rPr>
          <w:rFonts w:cs="Arial"/>
          <w:b/>
          <w:bCs/>
          <w:szCs w:val="22"/>
        </w:rPr>
      </w:pPr>
    </w:p>
    <w:p w14:paraId="7186473D"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4767DE81" w14:textId="77777777" w:rsidR="00C73699" w:rsidRPr="00A9307E" w:rsidRDefault="00C73699" w:rsidP="00C73699">
      <w:pPr>
        <w:pStyle w:val="Sinespaciado"/>
        <w:spacing w:line="276" w:lineRule="auto"/>
        <w:jc w:val="both"/>
        <w:rPr>
          <w:rFonts w:ascii="Arial" w:hAnsi="Arial" w:cs="Arial"/>
        </w:rPr>
      </w:pPr>
    </w:p>
    <w:p w14:paraId="76CFD1B4"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1DACD43D" w14:textId="77777777" w:rsidR="00C73699" w:rsidRPr="00A9307E" w:rsidRDefault="00C73699" w:rsidP="00C73699">
      <w:pPr>
        <w:pStyle w:val="Sinespaciado"/>
        <w:spacing w:line="276" w:lineRule="auto"/>
        <w:jc w:val="both"/>
        <w:rPr>
          <w:rFonts w:ascii="Arial" w:hAnsi="Arial" w:cs="Arial"/>
        </w:rPr>
      </w:pPr>
    </w:p>
    <w:p w14:paraId="2822439D" w14:textId="77777777" w:rsidR="00BD11A4" w:rsidRPr="00FF007A" w:rsidRDefault="00C73699" w:rsidP="00BD11A4">
      <w:pPr>
        <w:pStyle w:val="Sinespaciado"/>
        <w:spacing w:line="276" w:lineRule="auto"/>
        <w:jc w:val="both"/>
        <w:rPr>
          <w:rFonts w:ascii="Arial" w:hAnsi="Arial" w:cs="Arial"/>
        </w:rPr>
      </w:pPr>
      <w:r w:rsidRPr="00BD11A4">
        <w:rPr>
          <w:rFonts w:ascii="Arial" w:hAnsi="Arial" w:cs="Arial"/>
        </w:rPr>
        <w:t>En nuestra opinión, la información financiera sujeta a fiscalización, respecto a los ingresos propios presentan razonablemente la situación contable de la Entidad Fiscalizada</w:t>
      </w:r>
      <w:r w:rsidR="00BD11A4" w:rsidRPr="00BD11A4">
        <w:rPr>
          <w:rFonts w:ascii="Arial" w:hAnsi="Arial" w:cs="Arial"/>
        </w:rPr>
        <w:t xml:space="preserve"> excepto</w:t>
      </w:r>
      <w:r w:rsidR="00BD11A4" w:rsidRPr="00FF007A">
        <w:rPr>
          <w:rFonts w:ascii="Arial" w:hAnsi="Arial" w:cs="Arial"/>
        </w:rPr>
        <w:t xml:space="preserve"> </w:t>
      </w:r>
    </w:p>
    <w:p w14:paraId="0A56E6BB" w14:textId="2F31DF8F" w:rsidR="00C73699" w:rsidRPr="00BD11A4" w:rsidRDefault="00BD11A4" w:rsidP="00C73699">
      <w:pPr>
        <w:pStyle w:val="Sinespaciado"/>
        <w:spacing w:line="276" w:lineRule="auto"/>
        <w:jc w:val="both"/>
        <w:rPr>
          <w:rFonts w:ascii="Arial" w:hAnsi="Arial" w:cs="Arial"/>
        </w:rPr>
      </w:pPr>
      <w:r>
        <w:rPr>
          <w:rFonts w:ascii="Arial" w:hAnsi="Arial" w:cs="Arial"/>
        </w:rPr>
        <w:t>por</w:t>
      </w:r>
      <w:r w:rsidRPr="00BD11A4">
        <w:rPr>
          <w:rFonts w:ascii="Arial" w:hAnsi="Arial" w:cs="Arial"/>
        </w:rPr>
        <w:t xml:space="preserve"> </w:t>
      </w:r>
      <w:r>
        <w:rPr>
          <w:rFonts w:ascii="Arial" w:hAnsi="Arial" w:cs="Arial"/>
          <w:spacing w:val="1"/>
        </w:rPr>
        <w:t>la f</w:t>
      </w:r>
      <w:r w:rsidRPr="00BD11A4">
        <w:rPr>
          <w:rFonts w:ascii="Arial" w:hAnsi="Arial" w:cs="Arial"/>
          <w:spacing w:val="1"/>
        </w:rPr>
        <w:t>alta de</w:t>
      </w:r>
      <w:r>
        <w:rPr>
          <w:rFonts w:ascii="Arial" w:hAnsi="Arial" w:cs="Arial"/>
          <w:spacing w:val="1"/>
        </w:rPr>
        <w:t xml:space="preserve"> la</w:t>
      </w:r>
      <w:r w:rsidRPr="00BD11A4">
        <w:rPr>
          <w:rFonts w:ascii="Arial" w:hAnsi="Arial" w:cs="Arial"/>
          <w:spacing w:val="1"/>
        </w:rPr>
        <w:t xml:space="preserve"> </w:t>
      </w:r>
      <w:r>
        <w:rPr>
          <w:rFonts w:ascii="Arial" w:hAnsi="Arial" w:cs="Arial"/>
          <w:spacing w:val="1"/>
        </w:rPr>
        <w:t>c</w:t>
      </w:r>
      <w:r w:rsidRPr="00BD11A4">
        <w:rPr>
          <w:rFonts w:ascii="Arial" w:hAnsi="Arial" w:cs="Arial"/>
          <w:spacing w:val="1"/>
        </w:rPr>
        <w:t>onciliación</w:t>
      </w:r>
      <w:r>
        <w:rPr>
          <w:rFonts w:ascii="Arial" w:hAnsi="Arial" w:cs="Arial"/>
          <w:spacing w:val="1"/>
        </w:rPr>
        <w:t xml:space="preserve"> </w:t>
      </w:r>
      <w:r w:rsidRPr="00BD11A4">
        <w:rPr>
          <w:rFonts w:ascii="Arial" w:hAnsi="Arial" w:cs="Arial"/>
          <w:spacing w:val="1"/>
        </w:rPr>
        <w:t>entre el Inventario de Bines Muebles, Inmuebles e Intangibles con los Registros Contables</w:t>
      </w:r>
      <w:r>
        <w:rPr>
          <w:rFonts w:ascii="Arial" w:hAnsi="Arial" w:cs="Arial"/>
          <w:spacing w:val="1"/>
        </w:rPr>
        <w:t xml:space="preserve">, </w:t>
      </w:r>
      <w:r w:rsidRPr="00FF007A">
        <w:rPr>
          <w:rFonts w:ascii="Arial" w:hAnsi="Arial" w:cs="Arial"/>
        </w:rPr>
        <w:t>sobre el cual se instaurarán procedimientos de investigación y se elaboran los Informes de Presuntas Irregularidades, en los términos legales aplicables</w:t>
      </w:r>
      <w:r w:rsidR="00C73699" w:rsidRPr="00BD11A4">
        <w:rPr>
          <w:rFonts w:ascii="Arial" w:hAnsi="Arial" w:cs="Arial"/>
        </w:rPr>
        <w:t>.</w:t>
      </w:r>
    </w:p>
    <w:p w14:paraId="42DE3ABF" w14:textId="77777777" w:rsidR="00C73699" w:rsidRPr="00F72F1B" w:rsidRDefault="00C73699" w:rsidP="00C73699">
      <w:pPr>
        <w:pStyle w:val="Sinespaciado"/>
        <w:spacing w:line="276" w:lineRule="auto"/>
        <w:jc w:val="both"/>
        <w:rPr>
          <w:rFonts w:ascii="Arial" w:hAnsi="Arial" w:cs="Arial"/>
          <w:highlight w:val="yellow"/>
        </w:rPr>
      </w:pPr>
    </w:p>
    <w:p w14:paraId="62808EAC" w14:textId="3F40660D" w:rsidR="00C73699" w:rsidRDefault="00BD11A4" w:rsidP="00C73699">
      <w:pPr>
        <w:pStyle w:val="Sinespaciado"/>
        <w:spacing w:line="276" w:lineRule="auto"/>
        <w:jc w:val="both"/>
        <w:rPr>
          <w:rFonts w:ascii="Arial" w:hAnsi="Arial" w:cs="Arial"/>
        </w:rPr>
      </w:pPr>
      <w:r>
        <w:rPr>
          <w:rFonts w:ascii="Arial" w:hAnsi="Arial" w:cs="Arial"/>
        </w:rPr>
        <w:t>Como se puede leer en el párrafo anterior</w:t>
      </w:r>
      <w:r w:rsidRPr="00771FBC">
        <w:rPr>
          <w:rFonts w:ascii="Arial" w:hAnsi="Arial" w:cs="Arial"/>
        </w:rPr>
        <w:t xml:space="preserve"> </w:t>
      </w:r>
      <w:r w:rsidR="00C73699" w:rsidRPr="00BD11A4">
        <w:rPr>
          <w:rFonts w:ascii="Arial" w:hAnsi="Arial" w:cs="Arial"/>
        </w:rPr>
        <w:t>se identificaron áreas de oportunidad para un mejor funcionamiento de la Entidad Fiscalizada, toda vez que se identificaron debilidades las cuales se precisan en el apartado de Resultados de la Fiscalización efectuada.</w:t>
      </w:r>
    </w:p>
    <w:p w14:paraId="78511770" w14:textId="59FD1667" w:rsidR="00BD11A4" w:rsidRDefault="00BD11A4" w:rsidP="00C73699">
      <w:pPr>
        <w:pStyle w:val="Sinespaciado"/>
        <w:spacing w:line="276" w:lineRule="auto"/>
        <w:jc w:val="both"/>
        <w:rPr>
          <w:rFonts w:ascii="Arial" w:eastAsia="Arial" w:hAnsi="Arial" w:cs="Arial"/>
        </w:rPr>
      </w:pPr>
    </w:p>
    <w:p w14:paraId="5D514ADA" w14:textId="77777777" w:rsidR="00BD11A4" w:rsidRPr="00665331" w:rsidRDefault="00BD11A4" w:rsidP="00C73699">
      <w:pPr>
        <w:pStyle w:val="Sinespaciado"/>
        <w:spacing w:line="276" w:lineRule="auto"/>
        <w:jc w:val="both"/>
        <w:rPr>
          <w:rFonts w:ascii="Arial" w:eastAsia="Arial" w:hAnsi="Arial" w:cs="Arial"/>
        </w:rPr>
      </w:pPr>
    </w:p>
    <w:p w14:paraId="6678B662" w14:textId="77777777" w:rsidR="00C73699" w:rsidRPr="00102227" w:rsidRDefault="00C73699" w:rsidP="00C73699">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FF9AD23" w14:textId="77777777" w:rsidR="00C73699" w:rsidRPr="00665331" w:rsidRDefault="00C73699" w:rsidP="00C73699">
      <w:pPr>
        <w:ind w:right="49"/>
        <w:rPr>
          <w:rFonts w:eastAsiaTheme="minorHAnsi" w:cs="Arial"/>
          <w:szCs w:val="22"/>
        </w:rPr>
      </w:pPr>
    </w:p>
    <w:p w14:paraId="5D14CA89" w14:textId="275A42FF" w:rsidR="00C73699" w:rsidRDefault="00C73699" w:rsidP="00C73699">
      <w:pPr>
        <w:tabs>
          <w:tab w:val="left" w:pos="4554"/>
        </w:tabs>
        <w:rPr>
          <w:b/>
          <w:lang w:val="es-ES_tradnl"/>
        </w:rPr>
      </w:pPr>
    </w:p>
    <w:sectPr w:rsidR="00C73699"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5EB2D" w14:textId="77777777" w:rsidR="00D2339E" w:rsidRDefault="00D2339E" w:rsidP="00864A97">
      <w:r>
        <w:separator/>
      </w:r>
    </w:p>
  </w:endnote>
  <w:endnote w:type="continuationSeparator" w:id="0">
    <w:p w14:paraId="734E60B6" w14:textId="77777777" w:rsidR="00D2339E" w:rsidRDefault="00D2339E"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D2339E"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8826" w14:textId="77777777" w:rsidR="00D2339E" w:rsidRDefault="00D2339E" w:rsidP="00864A97">
      <w:r>
        <w:separator/>
      </w:r>
    </w:p>
  </w:footnote>
  <w:footnote w:type="continuationSeparator" w:id="0">
    <w:p w14:paraId="0747A021" w14:textId="77777777" w:rsidR="00D2339E" w:rsidRDefault="00D2339E"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5"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1"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5"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B4A2664"/>
    <w:multiLevelType w:val="multilevel"/>
    <w:tmpl w:val="F844E1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BC4D82"/>
    <w:multiLevelType w:val="hybridMultilevel"/>
    <w:tmpl w:val="632C2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04865621">
    <w:abstractNumId w:val="20"/>
  </w:num>
  <w:num w:numId="2" w16cid:durableId="1541013643">
    <w:abstractNumId w:val="21"/>
  </w:num>
  <w:num w:numId="3" w16cid:durableId="52243883">
    <w:abstractNumId w:val="9"/>
  </w:num>
  <w:num w:numId="4" w16cid:durableId="1420442553">
    <w:abstractNumId w:val="24"/>
  </w:num>
  <w:num w:numId="5" w16cid:durableId="2035961094">
    <w:abstractNumId w:val="34"/>
  </w:num>
  <w:num w:numId="6" w16cid:durableId="45497432">
    <w:abstractNumId w:val="28"/>
  </w:num>
  <w:num w:numId="7" w16cid:durableId="283124747">
    <w:abstractNumId w:val="31"/>
  </w:num>
  <w:num w:numId="8" w16cid:durableId="75905518">
    <w:abstractNumId w:val="3"/>
  </w:num>
  <w:num w:numId="9" w16cid:durableId="1498225402">
    <w:abstractNumId w:val="30"/>
  </w:num>
  <w:num w:numId="10" w16cid:durableId="402801196">
    <w:abstractNumId w:val="26"/>
  </w:num>
  <w:num w:numId="11" w16cid:durableId="986588483">
    <w:abstractNumId w:val="11"/>
  </w:num>
  <w:num w:numId="12" w16cid:durableId="87385199">
    <w:abstractNumId w:val="1"/>
  </w:num>
  <w:num w:numId="13" w16cid:durableId="244536792">
    <w:abstractNumId w:val="8"/>
  </w:num>
  <w:num w:numId="14" w16cid:durableId="282924085">
    <w:abstractNumId w:val="18"/>
  </w:num>
  <w:num w:numId="15" w16cid:durableId="1005549722">
    <w:abstractNumId w:val="27"/>
  </w:num>
  <w:num w:numId="16" w16cid:durableId="486213687">
    <w:abstractNumId w:val="16"/>
  </w:num>
  <w:num w:numId="17" w16cid:durableId="1009672440">
    <w:abstractNumId w:val="33"/>
  </w:num>
  <w:num w:numId="18" w16cid:durableId="2041315875">
    <w:abstractNumId w:val="7"/>
  </w:num>
  <w:num w:numId="19" w16cid:durableId="586958848">
    <w:abstractNumId w:val="22"/>
  </w:num>
  <w:num w:numId="20" w16cid:durableId="1934164426">
    <w:abstractNumId w:val="32"/>
  </w:num>
  <w:num w:numId="21" w16cid:durableId="393360202">
    <w:abstractNumId w:val="35"/>
  </w:num>
  <w:num w:numId="22" w16cid:durableId="1034035631">
    <w:abstractNumId w:val="2"/>
  </w:num>
  <w:num w:numId="23" w16cid:durableId="817109445">
    <w:abstractNumId w:val="4"/>
  </w:num>
  <w:num w:numId="24" w16cid:durableId="1222014494">
    <w:abstractNumId w:val="15"/>
  </w:num>
  <w:num w:numId="25" w16cid:durableId="799617045">
    <w:abstractNumId w:val="19"/>
  </w:num>
  <w:num w:numId="26" w16cid:durableId="1532105451">
    <w:abstractNumId w:val="12"/>
  </w:num>
  <w:num w:numId="27" w16cid:durableId="1663653283">
    <w:abstractNumId w:val="17"/>
  </w:num>
  <w:num w:numId="28" w16cid:durableId="725570078">
    <w:abstractNumId w:val="10"/>
  </w:num>
  <w:num w:numId="29" w16cid:durableId="481165434">
    <w:abstractNumId w:val="6"/>
  </w:num>
  <w:num w:numId="30" w16cid:durableId="2135974730">
    <w:abstractNumId w:val="13"/>
  </w:num>
  <w:num w:numId="31" w16cid:durableId="1525826406">
    <w:abstractNumId w:val="0"/>
  </w:num>
  <w:num w:numId="32" w16cid:durableId="1625305382">
    <w:abstractNumId w:val="29"/>
  </w:num>
  <w:num w:numId="33" w16cid:durableId="1959097999">
    <w:abstractNumId w:val="23"/>
  </w:num>
  <w:num w:numId="34" w16cid:durableId="773550185">
    <w:abstractNumId w:val="14"/>
  </w:num>
  <w:num w:numId="35" w16cid:durableId="1485857129">
    <w:abstractNumId w:val="5"/>
  </w:num>
  <w:num w:numId="36" w16cid:durableId="51120688">
    <w:abstractNumId w:val="25"/>
  </w:num>
  <w:num w:numId="37" w16cid:durableId="906185321">
    <w:abstractNumId w:val="36"/>
  </w:num>
  <w:num w:numId="38" w16cid:durableId="1776948044">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1C05"/>
    <w:rsid w:val="00002AB8"/>
    <w:rsid w:val="00003EF5"/>
    <w:rsid w:val="000048D9"/>
    <w:rsid w:val="0001258F"/>
    <w:rsid w:val="00012D35"/>
    <w:rsid w:val="0002043B"/>
    <w:rsid w:val="00021DC0"/>
    <w:rsid w:val="00027342"/>
    <w:rsid w:val="0003018C"/>
    <w:rsid w:val="00031799"/>
    <w:rsid w:val="00031A96"/>
    <w:rsid w:val="00036FED"/>
    <w:rsid w:val="00040688"/>
    <w:rsid w:val="00040A50"/>
    <w:rsid w:val="0004305C"/>
    <w:rsid w:val="00051F03"/>
    <w:rsid w:val="0005237A"/>
    <w:rsid w:val="000563EB"/>
    <w:rsid w:val="00071CF3"/>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1664"/>
    <w:rsid w:val="000D40B0"/>
    <w:rsid w:val="000D448E"/>
    <w:rsid w:val="000D4BE3"/>
    <w:rsid w:val="000D57A5"/>
    <w:rsid w:val="000D5A48"/>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6ECA"/>
    <w:rsid w:val="00170660"/>
    <w:rsid w:val="001709D2"/>
    <w:rsid w:val="00181FC4"/>
    <w:rsid w:val="00182602"/>
    <w:rsid w:val="0018452E"/>
    <w:rsid w:val="001954FE"/>
    <w:rsid w:val="00197A36"/>
    <w:rsid w:val="001A3191"/>
    <w:rsid w:val="001A63F7"/>
    <w:rsid w:val="001B0577"/>
    <w:rsid w:val="001B17F4"/>
    <w:rsid w:val="001B31A7"/>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4C10"/>
    <w:rsid w:val="00285C47"/>
    <w:rsid w:val="00291281"/>
    <w:rsid w:val="002922CA"/>
    <w:rsid w:val="00292746"/>
    <w:rsid w:val="00296329"/>
    <w:rsid w:val="00296B75"/>
    <w:rsid w:val="002A1F45"/>
    <w:rsid w:val="002A296A"/>
    <w:rsid w:val="002B34FD"/>
    <w:rsid w:val="002C37D7"/>
    <w:rsid w:val="002D418D"/>
    <w:rsid w:val="002D4B43"/>
    <w:rsid w:val="002D4FB4"/>
    <w:rsid w:val="002D5253"/>
    <w:rsid w:val="002E03E5"/>
    <w:rsid w:val="002E08E8"/>
    <w:rsid w:val="002F17FF"/>
    <w:rsid w:val="003022D0"/>
    <w:rsid w:val="00320835"/>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7545D"/>
    <w:rsid w:val="00376D1F"/>
    <w:rsid w:val="003806FD"/>
    <w:rsid w:val="00385F15"/>
    <w:rsid w:val="003862C2"/>
    <w:rsid w:val="00386D09"/>
    <w:rsid w:val="00390412"/>
    <w:rsid w:val="00393050"/>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71D3"/>
    <w:rsid w:val="003F6194"/>
    <w:rsid w:val="003F6EC6"/>
    <w:rsid w:val="00403CC8"/>
    <w:rsid w:val="00410C61"/>
    <w:rsid w:val="00411190"/>
    <w:rsid w:val="004112D3"/>
    <w:rsid w:val="0041692A"/>
    <w:rsid w:val="00417579"/>
    <w:rsid w:val="004176EA"/>
    <w:rsid w:val="0041775E"/>
    <w:rsid w:val="00421DA2"/>
    <w:rsid w:val="00423887"/>
    <w:rsid w:val="00424C15"/>
    <w:rsid w:val="00435684"/>
    <w:rsid w:val="00442797"/>
    <w:rsid w:val="00450B9A"/>
    <w:rsid w:val="00451606"/>
    <w:rsid w:val="00453540"/>
    <w:rsid w:val="00461D4A"/>
    <w:rsid w:val="00462A20"/>
    <w:rsid w:val="00476348"/>
    <w:rsid w:val="004769B5"/>
    <w:rsid w:val="004804FC"/>
    <w:rsid w:val="00483F8E"/>
    <w:rsid w:val="00487DA1"/>
    <w:rsid w:val="00492510"/>
    <w:rsid w:val="00492D19"/>
    <w:rsid w:val="004A00EA"/>
    <w:rsid w:val="004A0FA6"/>
    <w:rsid w:val="004A2735"/>
    <w:rsid w:val="004A516E"/>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4056"/>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6B"/>
    <w:rsid w:val="00576E2F"/>
    <w:rsid w:val="00577DC2"/>
    <w:rsid w:val="00584767"/>
    <w:rsid w:val="005914A4"/>
    <w:rsid w:val="0059169D"/>
    <w:rsid w:val="00594428"/>
    <w:rsid w:val="00597C25"/>
    <w:rsid w:val="005A08CB"/>
    <w:rsid w:val="005A4B09"/>
    <w:rsid w:val="005A6E32"/>
    <w:rsid w:val="005A72B2"/>
    <w:rsid w:val="005B2FB4"/>
    <w:rsid w:val="005B7B10"/>
    <w:rsid w:val="005C016D"/>
    <w:rsid w:val="005C0B70"/>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5622"/>
    <w:rsid w:val="00606102"/>
    <w:rsid w:val="006112ED"/>
    <w:rsid w:val="0061708C"/>
    <w:rsid w:val="006207E0"/>
    <w:rsid w:val="006214D1"/>
    <w:rsid w:val="00622356"/>
    <w:rsid w:val="00626CB9"/>
    <w:rsid w:val="00630B24"/>
    <w:rsid w:val="00632722"/>
    <w:rsid w:val="00632C68"/>
    <w:rsid w:val="00635FA5"/>
    <w:rsid w:val="00637E01"/>
    <w:rsid w:val="00641CF7"/>
    <w:rsid w:val="00642FD2"/>
    <w:rsid w:val="00650485"/>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C2928"/>
    <w:rsid w:val="006C46CC"/>
    <w:rsid w:val="006C4FF8"/>
    <w:rsid w:val="006C7C59"/>
    <w:rsid w:val="006D3321"/>
    <w:rsid w:val="006D749D"/>
    <w:rsid w:val="006E066E"/>
    <w:rsid w:val="006E2B2A"/>
    <w:rsid w:val="006E662C"/>
    <w:rsid w:val="006E6B5C"/>
    <w:rsid w:val="006E7431"/>
    <w:rsid w:val="006F1B71"/>
    <w:rsid w:val="006F5671"/>
    <w:rsid w:val="006F5890"/>
    <w:rsid w:val="006F72E8"/>
    <w:rsid w:val="00704C32"/>
    <w:rsid w:val="007078A6"/>
    <w:rsid w:val="0071040C"/>
    <w:rsid w:val="00711C17"/>
    <w:rsid w:val="00712E94"/>
    <w:rsid w:val="007177DF"/>
    <w:rsid w:val="00726A6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33C4"/>
    <w:rsid w:val="00794DEC"/>
    <w:rsid w:val="0079767E"/>
    <w:rsid w:val="00797CE3"/>
    <w:rsid w:val="007A6403"/>
    <w:rsid w:val="007A75AB"/>
    <w:rsid w:val="007B0C6A"/>
    <w:rsid w:val="007B30B9"/>
    <w:rsid w:val="007B3AC0"/>
    <w:rsid w:val="007B70BB"/>
    <w:rsid w:val="007C0498"/>
    <w:rsid w:val="007C3236"/>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21A42"/>
    <w:rsid w:val="00824878"/>
    <w:rsid w:val="00831C45"/>
    <w:rsid w:val="00835BA2"/>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4C0C"/>
    <w:rsid w:val="00885E64"/>
    <w:rsid w:val="00886C3D"/>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36B6"/>
    <w:rsid w:val="00904B77"/>
    <w:rsid w:val="0090785B"/>
    <w:rsid w:val="00911023"/>
    <w:rsid w:val="009120A3"/>
    <w:rsid w:val="00913DE2"/>
    <w:rsid w:val="009152DA"/>
    <w:rsid w:val="00917021"/>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83F"/>
    <w:rsid w:val="00956EBA"/>
    <w:rsid w:val="00957595"/>
    <w:rsid w:val="00965D2B"/>
    <w:rsid w:val="00966B11"/>
    <w:rsid w:val="00967DBF"/>
    <w:rsid w:val="00972A30"/>
    <w:rsid w:val="0097422B"/>
    <w:rsid w:val="0097507D"/>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D0E93"/>
    <w:rsid w:val="009D31C8"/>
    <w:rsid w:val="009D7CFE"/>
    <w:rsid w:val="009E0C12"/>
    <w:rsid w:val="009E4108"/>
    <w:rsid w:val="009F1CD2"/>
    <w:rsid w:val="009F74FB"/>
    <w:rsid w:val="00A01C8A"/>
    <w:rsid w:val="00A05B75"/>
    <w:rsid w:val="00A141EE"/>
    <w:rsid w:val="00A168BC"/>
    <w:rsid w:val="00A175F8"/>
    <w:rsid w:val="00A219F3"/>
    <w:rsid w:val="00A266AE"/>
    <w:rsid w:val="00A27D64"/>
    <w:rsid w:val="00A31A3D"/>
    <w:rsid w:val="00A45C31"/>
    <w:rsid w:val="00A57934"/>
    <w:rsid w:val="00A62668"/>
    <w:rsid w:val="00A62AE9"/>
    <w:rsid w:val="00A66C74"/>
    <w:rsid w:val="00A71F9D"/>
    <w:rsid w:val="00A74934"/>
    <w:rsid w:val="00A750A1"/>
    <w:rsid w:val="00A76081"/>
    <w:rsid w:val="00A76A74"/>
    <w:rsid w:val="00A80B34"/>
    <w:rsid w:val="00A879F1"/>
    <w:rsid w:val="00A92F16"/>
    <w:rsid w:val="00A9307E"/>
    <w:rsid w:val="00AA5905"/>
    <w:rsid w:val="00AA710F"/>
    <w:rsid w:val="00AB107F"/>
    <w:rsid w:val="00AB14BE"/>
    <w:rsid w:val="00AB1903"/>
    <w:rsid w:val="00AB2999"/>
    <w:rsid w:val="00AB55DF"/>
    <w:rsid w:val="00AC4052"/>
    <w:rsid w:val="00AC55E2"/>
    <w:rsid w:val="00AC6EF4"/>
    <w:rsid w:val="00AC7BA1"/>
    <w:rsid w:val="00AD066B"/>
    <w:rsid w:val="00AD2C96"/>
    <w:rsid w:val="00AD70E6"/>
    <w:rsid w:val="00AE48D0"/>
    <w:rsid w:val="00AE4F47"/>
    <w:rsid w:val="00AF511A"/>
    <w:rsid w:val="00AF6DD6"/>
    <w:rsid w:val="00B0774F"/>
    <w:rsid w:val="00B15303"/>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96E56"/>
    <w:rsid w:val="00BA206A"/>
    <w:rsid w:val="00BA360F"/>
    <w:rsid w:val="00BA6B49"/>
    <w:rsid w:val="00BB022B"/>
    <w:rsid w:val="00BB1D8C"/>
    <w:rsid w:val="00BB3531"/>
    <w:rsid w:val="00BB4680"/>
    <w:rsid w:val="00BB72C3"/>
    <w:rsid w:val="00BD0072"/>
    <w:rsid w:val="00BD11A4"/>
    <w:rsid w:val="00BD4AE6"/>
    <w:rsid w:val="00BD6C4A"/>
    <w:rsid w:val="00BE0C5D"/>
    <w:rsid w:val="00BE3AC9"/>
    <w:rsid w:val="00BE5432"/>
    <w:rsid w:val="00BE7B39"/>
    <w:rsid w:val="00BF1EAE"/>
    <w:rsid w:val="00C030DD"/>
    <w:rsid w:val="00C04E80"/>
    <w:rsid w:val="00C05C3C"/>
    <w:rsid w:val="00C1058C"/>
    <w:rsid w:val="00C13F66"/>
    <w:rsid w:val="00C1489C"/>
    <w:rsid w:val="00C157AA"/>
    <w:rsid w:val="00C15987"/>
    <w:rsid w:val="00C162A7"/>
    <w:rsid w:val="00C23AC0"/>
    <w:rsid w:val="00C40FA2"/>
    <w:rsid w:val="00C42152"/>
    <w:rsid w:val="00C42B18"/>
    <w:rsid w:val="00C436C2"/>
    <w:rsid w:val="00C4660F"/>
    <w:rsid w:val="00C466B3"/>
    <w:rsid w:val="00C541C5"/>
    <w:rsid w:val="00C54A76"/>
    <w:rsid w:val="00C6129D"/>
    <w:rsid w:val="00C62813"/>
    <w:rsid w:val="00C65960"/>
    <w:rsid w:val="00C66E3B"/>
    <w:rsid w:val="00C67EC7"/>
    <w:rsid w:val="00C73699"/>
    <w:rsid w:val="00C76867"/>
    <w:rsid w:val="00C87A12"/>
    <w:rsid w:val="00C92F1D"/>
    <w:rsid w:val="00CA04DE"/>
    <w:rsid w:val="00CA3A4F"/>
    <w:rsid w:val="00CA4925"/>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339E"/>
    <w:rsid w:val="00D25585"/>
    <w:rsid w:val="00D30635"/>
    <w:rsid w:val="00D3648D"/>
    <w:rsid w:val="00D37448"/>
    <w:rsid w:val="00D47005"/>
    <w:rsid w:val="00D51494"/>
    <w:rsid w:val="00D5466F"/>
    <w:rsid w:val="00D619B9"/>
    <w:rsid w:val="00D63B8D"/>
    <w:rsid w:val="00D63F14"/>
    <w:rsid w:val="00D81586"/>
    <w:rsid w:val="00D83CA3"/>
    <w:rsid w:val="00D8427E"/>
    <w:rsid w:val="00D86893"/>
    <w:rsid w:val="00D91209"/>
    <w:rsid w:val="00D930C4"/>
    <w:rsid w:val="00D93CFE"/>
    <w:rsid w:val="00DA452F"/>
    <w:rsid w:val="00DA64F8"/>
    <w:rsid w:val="00DA6647"/>
    <w:rsid w:val="00DB451A"/>
    <w:rsid w:val="00DB74A1"/>
    <w:rsid w:val="00DC3C4D"/>
    <w:rsid w:val="00DC497E"/>
    <w:rsid w:val="00DD2D06"/>
    <w:rsid w:val="00DD3381"/>
    <w:rsid w:val="00DD5B89"/>
    <w:rsid w:val="00DD5E90"/>
    <w:rsid w:val="00DD75BE"/>
    <w:rsid w:val="00DE0C81"/>
    <w:rsid w:val="00DE4564"/>
    <w:rsid w:val="00DE5602"/>
    <w:rsid w:val="00DF07BF"/>
    <w:rsid w:val="00DF19BC"/>
    <w:rsid w:val="00E002C0"/>
    <w:rsid w:val="00E0320B"/>
    <w:rsid w:val="00E06C97"/>
    <w:rsid w:val="00E11216"/>
    <w:rsid w:val="00E16919"/>
    <w:rsid w:val="00E16A10"/>
    <w:rsid w:val="00E205E6"/>
    <w:rsid w:val="00E232F7"/>
    <w:rsid w:val="00E2760B"/>
    <w:rsid w:val="00E304BA"/>
    <w:rsid w:val="00E31E19"/>
    <w:rsid w:val="00E32A71"/>
    <w:rsid w:val="00E35A15"/>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839F2"/>
    <w:rsid w:val="00E866F6"/>
    <w:rsid w:val="00EA0B43"/>
    <w:rsid w:val="00EA19D6"/>
    <w:rsid w:val="00EA2A0C"/>
    <w:rsid w:val="00EA40F5"/>
    <w:rsid w:val="00EA51C7"/>
    <w:rsid w:val="00EA653B"/>
    <w:rsid w:val="00EB6AFE"/>
    <w:rsid w:val="00EC6268"/>
    <w:rsid w:val="00EC7192"/>
    <w:rsid w:val="00ED0CF0"/>
    <w:rsid w:val="00ED3422"/>
    <w:rsid w:val="00ED4501"/>
    <w:rsid w:val="00ED5F08"/>
    <w:rsid w:val="00ED7280"/>
    <w:rsid w:val="00EE15EF"/>
    <w:rsid w:val="00EE3E20"/>
    <w:rsid w:val="00EE4D72"/>
    <w:rsid w:val="00EF0DC4"/>
    <w:rsid w:val="00EF7458"/>
    <w:rsid w:val="00F00CB3"/>
    <w:rsid w:val="00F00E80"/>
    <w:rsid w:val="00F0195E"/>
    <w:rsid w:val="00F01BE7"/>
    <w:rsid w:val="00F033EC"/>
    <w:rsid w:val="00F0536D"/>
    <w:rsid w:val="00F175B6"/>
    <w:rsid w:val="00F21CD6"/>
    <w:rsid w:val="00F270AE"/>
    <w:rsid w:val="00F27729"/>
    <w:rsid w:val="00F30EA5"/>
    <w:rsid w:val="00F34062"/>
    <w:rsid w:val="00F36431"/>
    <w:rsid w:val="00F40E12"/>
    <w:rsid w:val="00F42F9C"/>
    <w:rsid w:val="00F4585E"/>
    <w:rsid w:val="00F51B7A"/>
    <w:rsid w:val="00F52413"/>
    <w:rsid w:val="00F54C8A"/>
    <w:rsid w:val="00F55B45"/>
    <w:rsid w:val="00F561CC"/>
    <w:rsid w:val="00F618F4"/>
    <w:rsid w:val="00F63809"/>
    <w:rsid w:val="00F64158"/>
    <w:rsid w:val="00F64578"/>
    <w:rsid w:val="00F72F1B"/>
    <w:rsid w:val="00F74716"/>
    <w:rsid w:val="00F75869"/>
    <w:rsid w:val="00F81129"/>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2252"/>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character" w:customStyle="1" w:styleId="markedcontent">
    <w:name w:val="markedcontent"/>
    <w:basedOn w:val="Fuentedeprrafopredeter"/>
    <w:rsid w:val="002A2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4F624-DC33-4298-A9EA-10903977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1817</Words>
  <Characters>9996</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11</cp:revision>
  <cp:lastPrinted>2023-02-01T03:10:00Z</cp:lastPrinted>
  <dcterms:created xsi:type="dcterms:W3CDTF">2023-01-11T20:20:00Z</dcterms:created>
  <dcterms:modified xsi:type="dcterms:W3CDTF">2023-02-01T03:10:00Z</dcterms:modified>
</cp:coreProperties>
</file>